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2551F" w14:textId="77777777" w:rsidR="00E813E8" w:rsidRPr="00307BBD" w:rsidRDefault="00570D82" w:rsidP="00E813E8">
      <w:pPr>
        <w:jc w:val="center"/>
        <w:rPr>
          <w:b/>
        </w:rPr>
      </w:pPr>
      <w:r w:rsidRPr="00307BBD">
        <w:rPr>
          <w:b/>
        </w:rPr>
        <w:t>Výzva</w:t>
      </w:r>
    </w:p>
    <w:p w14:paraId="286849A0" w14:textId="77777777" w:rsidR="00E813E8" w:rsidRPr="00307BBD" w:rsidRDefault="00E813E8" w:rsidP="00E813E8">
      <w:pPr>
        <w:jc w:val="center"/>
        <w:rPr>
          <w:b/>
        </w:rPr>
      </w:pPr>
      <w:r w:rsidRPr="00307BBD">
        <w:rPr>
          <w:b/>
        </w:rPr>
        <w:t>Veřejné řízení</w:t>
      </w:r>
    </w:p>
    <w:p w14:paraId="43DD3DEA" w14:textId="1A38BFF9" w:rsidR="00E36F9D" w:rsidRPr="00307BBD" w:rsidRDefault="00F953FD" w:rsidP="00E36F9D">
      <w:pPr>
        <w:jc w:val="center"/>
      </w:pPr>
      <w:bookmarkStart w:id="0" w:name="_Hlk132825440"/>
      <w:r w:rsidRPr="00307BBD">
        <w:t>UA-2025-09-23-012124-a</w:t>
      </w:r>
    </w:p>
    <w:p w14:paraId="199D1C17" w14:textId="7493EFCD" w:rsidR="00814E3E" w:rsidRPr="00307BBD" w:rsidRDefault="00E813E8" w:rsidP="00BC4C44">
      <w:pPr>
        <w:ind w:left="2830" w:hanging="2830"/>
      </w:pPr>
      <w:r w:rsidRPr="00307BBD">
        <w:t xml:space="preserve">Název zákazníka: </w:t>
      </w:r>
      <w:r w:rsidRPr="00307BBD">
        <w:tab/>
      </w:r>
      <w:r w:rsidRPr="00307BBD">
        <w:tab/>
      </w:r>
      <w:r w:rsidR="001C3A59" w:rsidRPr="00307BBD">
        <w:t>AKCIOVÁ SPOLEČNOST "UKRTRANSNAFTA“</w:t>
      </w:r>
    </w:p>
    <w:p w14:paraId="3B4B6F47" w14:textId="6F31BF20" w:rsidR="00F54392" w:rsidRPr="00307BBD" w:rsidRDefault="00E813E8" w:rsidP="00F54392">
      <w:pPr>
        <w:ind w:left="2830" w:hanging="2830"/>
      </w:pPr>
      <w:r w:rsidRPr="00307BBD">
        <w:t xml:space="preserve">Kategorie zákazníka: </w:t>
      </w:r>
      <w:r w:rsidRPr="00307BBD">
        <w:tab/>
      </w:r>
      <w:r w:rsidR="00B74316" w:rsidRPr="00307BBD">
        <w:t>Právnická osoba, která vykonává činnost v jedné nebo několika samostatných oblastech podnikání</w:t>
      </w:r>
    </w:p>
    <w:p w14:paraId="57F8D739" w14:textId="149E6BBA" w:rsidR="00814E3E" w:rsidRPr="00307BBD" w:rsidRDefault="00E813E8" w:rsidP="00814E3E">
      <w:r w:rsidRPr="00307BBD">
        <w:t xml:space="preserve">Identifikační kód zákazníka </w:t>
      </w:r>
      <w:r w:rsidRPr="00307BBD">
        <w:tab/>
      </w:r>
      <w:r w:rsidR="001C3A59" w:rsidRPr="00307BBD">
        <w:t>31570412</w:t>
      </w:r>
    </w:p>
    <w:p w14:paraId="00659D26" w14:textId="41E4388A" w:rsidR="00814E3E" w:rsidRPr="00307BBD" w:rsidRDefault="00E813E8" w:rsidP="00814E3E">
      <w:r w:rsidRPr="00307BBD">
        <w:t xml:space="preserve">Sídlo zákazníka: </w:t>
      </w:r>
      <w:r w:rsidRPr="00307BBD">
        <w:tab/>
      </w:r>
      <w:r w:rsidRPr="00307BBD">
        <w:tab/>
      </w:r>
      <w:r w:rsidR="001C3A59" w:rsidRPr="00307BBD">
        <w:t>Knjaziv Ostrozk</w:t>
      </w:r>
      <w:r w:rsidR="00307BBD">
        <w:t>ý</w:t>
      </w:r>
      <w:r w:rsidR="001C3A59" w:rsidRPr="00307BBD">
        <w:t>ch 32/2</w:t>
      </w:r>
      <w:r w:rsidR="0009002B" w:rsidRPr="00307BBD">
        <w:t xml:space="preserve">, </w:t>
      </w:r>
      <w:r w:rsidR="001C3A59" w:rsidRPr="00307BBD">
        <w:t xml:space="preserve">01010 </w:t>
      </w:r>
      <w:r w:rsidR="0009002B" w:rsidRPr="00307BBD">
        <w:t>Kyjev</w:t>
      </w:r>
    </w:p>
    <w:p w14:paraId="554A5C72" w14:textId="6D2721A4" w:rsidR="00080300" w:rsidRPr="00307BBD" w:rsidRDefault="00E813E8" w:rsidP="00080300">
      <w:r w:rsidRPr="00307BBD">
        <w:t>Kontaktní osoba zákazníka</w:t>
      </w:r>
      <w:r w:rsidR="00050327" w:rsidRPr="00307BBD">
        <w:t>:</w:t>
      </w:r>
      <w:r w:rsidRPr="00307BBD">
        <w:tab/>
      </w:r>
      <w:r w:rsidR="00307BBD">
        <w:t>Yu</w:t>
      </w:r>
      <w:r w:rsidR="00F953FD" w:rsidRPr="00307BBD">
        <w:t>lia Chornobryvka, +380442015750, y.chornobryvka@ukrtransnafta.com</w:t>
      </w:r>
    </w:p>
    <w:p w14:paraId="20C9709D" w14:textId="77777777" w:rsidR="00E813E8" w:rsidRPr="00307BBD" w:rsidRDefault="00E813E8" w:rsidP="00961C5D">
      <w:r w:rsidRPr="00307BBD">
        <w:t xml:space="preserve">Typ položky nákupu: </w:t>
      </w:r>
      <w:r w:rsidRPr="00307BBD">
        <w:tab/>
      </w:r>
      <w:r w:rsidRPr="00307BBD">
        <w:tab/>
        <w:t>Zboží</w:t>
      </w:r>
    </w:p>
    <w:p w14:paraId="61E06CB8" w14:textId="3546C25A" w:rsidR="00B74316" w:rsidRPr="00307BBD" w:rsidRDefault="00E813E8" w:rsidP="00B74316">
      <w:pPr>
        <w:ind w:left="2832" w:hanging="2832"/>
      </w:pPr>
      <w:r w:rsidRPr="00307BBD">
        <w:t xml:space="preserve">Název předmětu koupě: </w:t>
      </w:r>
      <w:r w:rsidRPr="00307BBD">
        <w:tab/>
      </w:r>
      <w:r w:rsidR="00F953FD" w:rsidRPr="00307BBD">
        <w:t>Elektromotory asynchronní v nevýbušném provedení s napětím 6 kV</w:t>
      </w:r>
    </w:p>
    <w:p w14:paraId="40C1724B" w14:textId="7F475AF2" w:rsidR="003B0DD8" w:rsidRPr="00307BBD" w:rsidRDefault="00E813E8" w:rsidP="0009002B">
      <w:pPr>
        <w:spacing w:after="0"/>
      </w:pPr>
      <w:r w:rsidRPr="00307BBD">
        <w:t xml:space="preserve">Kód podle jednotného </w:t>
      </w:r>
      <w:r w:rsidR="00920B0D" w:rsidRPr="00307BBD">
        <w:t>nákupního</w:t>
      </w:r>
      <w:r w:rsidR="00570D82" w:rsidRPr="00307BBD">
        <w:t xml:space="preserve"> </w:t>
      </w:r>
      <w:r w:rsidRPr="00307BBD">
        <w:t>rejstříku</w:t>
      </w:r>
      <w:r w:rsidR="00DF6CC8" w:rsidRPr="00307BBD">
        <w:t>:</w:t>
      </w:r>
      <w:r w:rsidRPr="00307BBD">
        <w:t xml:space="preserve"> </w:t>
      </w:r>
      <w:r w:rsidR="00BC4C44" w:rsidRPr="00307BBD">
        <w:tab/>
      </w:r>
      <w:r w:rsidR="00F953FD" w:rsidRPr="00307BBD">
        <w:t>DK 021:2015:31110000-0: Elektromotory</w:t>
      </w:r>
    </w:p>
    <w:p w14:paraId="5812B01E" w14:textId="0B5567D8" w:rsidR="00F13C42" w:rsidRPr="00307BBD" w:rsidRDefault="00F13C42" w:rsidP="00F13C42">
      <w:pPr>
        <w:spacing w:after="0"/>
        <w:rPr>
          <w:b/>
        </w:rPr>
      </w:pPr>
    </w:p>
    <w:tbl>
      <w:tblPr>
        <w:tblStyle w:val="Mkatabulky"/>
        <w:tblW w:w="0" w:type="auto"/>
        <w:tblLayout w:type="fixed"/>
        <w:tblLook w:val="04A0" w:firstRow="1" w:lastRow="0" w:firstColumn="1" w:lastColumn="0" w:noHBand="0" w:noVBand="1"/>
      </w:tblPr>
      <w:tblGrid>
        <w:gridCol w:w="2689"/>
        <w:gridCol w:w="2835"/>
        <w:gridCol w:w="1417"/>
        <w:gridCol w:w="2000"/>
        <w:gridCol w:w="1515"/>
      </w:tblGrid>
      <w:tr w:rsidR="002A60E7" w:rsidRPr="00307BBD" w14:paraId="0CD7AC24" w14:textId="77777777" w:rsidTr="00B74316">
        <w:tc>
          <w:tcPr>
            <w:tcW w:w="2689" w:type="dxa"/>
          </w:tcPr>
          <w:bookmarkEnd w:id="0"/>
          <w:p w14:paraId="6CBE80D0" w14:textId="77777777" w:rsidR="00EB054F" w:rsidRPr="00307BBD" w:rsidRDefault="00390296" w:rsidP="00E813E8">
            <w:r w:rsidRPr="00307BBD">
              <w:t>Název položky nákupu</w:t>
            </w:r>
          </w:p>
        </w:tc>
        <w:tc>
          <w:tcPr>
            <w:tcW w:w="2835" w:type="dxa"/>
          </w:tcPr>
          <w:p w14:paraId="6360A099" w14:textId="77777777" w:rsidR="00EB054F" w:rsidRPr="00307BBD" w:rsidRDefault="00390296" w:rsidP="00E813E8">
            <w:r w:rsidRPr="00307BBD">
              <w:t xml:space="preserve">Kód podle jednotného nákupního rejstříku </w:t>
            </w:r>
          </w:p>
        </w:tc>
        <w:tc>
          <w:tcPr>
            <w:tcW w:w="1417" w:type="dxa"/>
          </w:tcPr>
          <w:p w14:paraId="0CFE034C" w14:textId="77777777" w:rsidR="00EB054F" w:rsidRPr="00307BBD" w:rsidRDefault="00C8170C" w:rsidP="00E813E8">
            <w:r w:rsidRPr="00307BBD">
              <w:t>Počet zboží nebo rozsah prací či služeb</w:t>
            </w:r>
          </w:p>
        </w:tc>
        <w:tc>
          <w:tcPr>
            <w:tcW w:w="2000" w:type="dxa"/>
          </w:tcPr>
          <w:p w14:paraId="07D13BCD" w14:textId="77777777" w:rsidR="00EB054F" w:rsidRPr="00307BBD" w:rsidRDefault="00390296" w:rsidP="00E813E8">
            <w:r w:rsidRPr="00307BBD">
              <w:t>Místo dodání zboží nebo vykonání prací nebo služeb</w:t>
            </w:r>
          </w:p>
        </w:tc>
        <w:tc>
          <w:tcPr>
            <w:tcW w:w="1515" w:type="dxa"/>
          </w:tcPr>
          <w:p w14:paraId="00EFDC00" w14:textId="77777777" w:rsidR="00EB054F" w:rsidRPr="00307BBD" w:rsidRDefault="00390296" w:rsidP="00E813E8">
            <w:r w:rsidRPr="00307BBD">
              <w:t>Termín dodání zboží, vykonání prací nebo služeb</w:t>
            </w:r>
          </w:p>
        </w:tc>
      </w:tr>
      <w:tr w:rsidR="00F953FD" w:rsidRPr="00307BBD" w14:paraId="29549074" w14:textId="77777777" w:rsidTr="00B74316">
        <w:tc>
          <w:tcPr>
            <w:tcW w:w="2689" w:type="dxa"/>
          </w:tcPr>
          <w:p w14:paraId="48F3A723" w14:textId="3C628C93" w:rsidR="00F953FD" w:rsidRPr="00307BBD" w:rsidRDefault="00F953FD" w:rsidP="00F02AC7">
            <w:r w:rsidRPr="00307BBD">
              <w:t>Asynchronní elektromotor s napětím 6 kV, výkon 2500 kW, nevýbušné provedení, s vlastním větráním.</w:t>
            </w:r>
          </w:p>
        </w:tc>
        <w:tc>
          <w:tcPr>
            <w:tcW w:w="2835" w:type="dxa"/>
          </w:tcPr>
          <w:p w14:paraId="465FC8B0" w14:textId="44763317" w:rsidR="00F953FD" w:rsidRPr="00307BBD" w:rsidRDefault="00F953FD" w:rsidP="006E2625">
            <w:pPr>
              <w:autoSpaceDE w:val="0"/>
              <w:autoSpaceDN w:val="0"/>
              <w:adjustRightInd w:val="0"/>
            </w:pPr>
            <w:r w:rsidRPr="00307BBD">
              <w:t>DK 021:2015:31110000-0- Elektromotory</w:t>
            </w:r>
          </w:p>
        </w:tc>
        <w:tc>
          <w:tcPr>
            <w:tcW w:w="1417" w:type="dxa"/>
          </w:tcPr>
          <w:p w14:paraId="63A2D75C" w14:textId="6C723A32" w:rsidR="00F953FD" w:rsidRPr="00307BBD" w:rsidRDefault="00F953FD" w:rsidP="00E813E8">
            <w:r w:rsidRPr="00307BBD">
              <w:t xml:space="preserve">4 ks </w:t>
            </w:r>
          </w:p>
        </w:tc>
        <w:tc>
          <w:tcPr>
            <w:tcW w:w="2000" w:type="dxa"/>
          </w:tcPr>
          <w:p w14:paraId="792CD2F0" w14:textId="11CFA756" w:rsidR="00F953FD" w:rsidRPr="00307BBD" w:rsidRDefault="00F953FD" w:rsidP="008E1B0B">
            <w:r w:rsidRPr="00307BBD">
              <w:t>82631, Lvivská oblast</w:t>
            </w:r>
            <w:r w:rsidR="00307BBD">
              <w:t>,</w:t>
            </w:r>
            <w:r w:rsidRPr="00307BBD">
              <w:t xml:space="preserve"> Kozov</w:t>
            </w:r>
            <w:r w:rsidR="00307BBD">
              <w:t>a</w:t>
            </w:r>
            <w:r w:rsidRPr="00307BBD">
              <w:t>, Stryjský</w:t>
            </w:r>
            <w:bookmarkStart w:id="1" w:name="_GoBack"/>
            <w:bookmarkEnd w:id="1"/>
            <w:r w:rsidRPr="00307BBD">
              <w:t xml:space="preserve"> okres</w:t>
            </w:r>
          </w:p>
        </w:tc>
        <w:tc>
          <w:tcPr>
            <w:tcW w:w="1515" w:type="dxa"/>
          </w:tcPr>
          <w:p w14:paraId="47A53E51" w14:textId="2B44B07D" w:rsidR="00F953FD" w:rsidRPr="00307BBD" w:rsidRDefault="00F953FD" w:rsidP="00E813E8">
            <w:r w:rsidRPr="00307BBD">
              <w:t>do 7. ledna 2027</w:t>
            </w:r>
          </w:p>
        </w:tc>
      </w:tr>
    </w:tbl>
    <w:p w14:paraId="7ED203FF" w14:textId="77777777" w:rsidR="008E1B0B" w:rsidRPr="00307BBD" w:rsidRDefault="008E1B0B" w:rsidP="00E813E8"/>
    <w:p w14:paraId="423D9E05" w14:textId="77777777" w:rsidR="00B828FD" w:rsidRPr="00307BBD" w:rsidRDefault="00B828FD" w:rsidP="00E813E8">
      <w:r w:rsidRPr="00307BBD">
        <w:t>Podmínky platby</w:t>
      </w:r>
    </w:p>
    <w:tbl>
      <w:tblPr>
        <w:tblStyle w:val="Mkatabulky"/>
        <w:tblW w:w="0" w:type="auto"/>
        <w:tblLook w:val="04A0" w:firstRow="1" w:lastRow="0" w:firstColumn="1" w:lastColumn="0" w:noHBand="0" w:noVBand="1"/>
      </w:tblPr>
      <w:tblGrid>
        <w:gridCol w:w="1410"/>
        <w:gridCol w:w="3547"/>
        <w:gridCol w:w="1275"/>
        <w:gridCol w:w="1418"/>
        <w:gridCol w:w="1276"/>
        <w:gridCol w:w="1530"/>
      </w:tblGrid>
      <w:tr w:rsidR="00B828FD" w:rsidRPr="00307BBD" w14:paraId="0BE02F04" w14:textId="77777777" w:rsidTr="00536768">
        <w:tc>
          <w:tcPr>
            <w:tcW w:w="1410" w:type="dxa"/>
          </w:tcPr>
          <w:p w14:paraId="5837E628" w14:textId="77777777" w:rsidR="00B828FD" w:rsidRPr="00307BBD" w:rsidRDefault="00B828FD" w:rsidP="00E813E8">
            <w:r w:rsidRPr="00307BBD">
              <w:t>Událost</w:t>
            </w:r>
          </w:p>
        </w:tc>
        <w:tc>
          <w:tcPr>
            <w:tcW w:w="3547" w:type="dxa"/>
          </w:tcPr>
          <w:p w14:paraId="73856A7D" w14:textId="77777777" w:rsidR="00B828FD" w:rsidRPr="00307BBD" w:rsidRDefault="00B828FD" w:rsidP="00E813E8">
            <w:r w:rsidRPr="00307BBD">
              <w:t>Popis</w:t>
            </w:r>
          </w:p>
        </w:tc>
        <w:tc>
          <w:tcPr>
            <w:tcW w:w="1275" w:type="dxa"/>
          </w:tcPr>
          <w:p w14:paraId="60533512" w14:textId="77777777" w:rsidR="00B828FD" w:rsidRPr="00307BBD" w:rsidRDefault="00B828FD" w:rsidP="00E813E8">
            <w:r w:rsidRPr="00307BBD">
              <w:t>Typ platby</w:t>
            </w:r>
          </w:p>
        </w:tc>
        <w:tc>
          <w:tcPr>
            <w:tcW w:w="1418" w:type="dxa"/>
          </w:tcPr>
          <w:p w14:paraId="7327D086" w14:textId="77777777" w:rsidR="00B828FD" w:rsidRPr="00307BBD" w:rsidRDefault="00B828FD" w:rsidP="00E813E8">
            <w:r w:rsidRPr="00307BBD">
              <w:t>Termín (dny)</w:t>
            </w:r>
          </w:p>
        </w:tc>
        <w:tc>
          <w:tcPr>
            <w:tcW w:w="1276" w:type="dxa"/>
          </w:tcPr>
          <w:p w14:paraId="59778E7A" w14:textId="77777777" w:rsidR="00B828FD" w:rsidRPr="00307BBD" w:rsidRDefault="00B828FD" w:rsidP="00E813E8">
            <w:r w:rsidRPr="00307BBD">
              <w:t>Typ dnů</w:t>
            </w:r>
          </w:p>
        </w:tc>
        <w:tc>
          <w:tcPr>
            <w:tcW w:w="1530" w:type="dxa"/>
          </w:tcPr>
          <w:p w14:paraId="5AA1CA71" w14:textId="77777777" w:rsidR="00B828FD" w:rsidRPr="00307BBD" w:rsidRDefault="00B828FD" w:rsidP="00E813E8">
            <w:r w:rsidRPr="00307BBD">
              <w:t>Výše platby</w:t>
            </w:r>
            <w:r w:rsidR="00CC27BA" w:rsidRPr="00307BBD">
              <w:t>, %</w:t>
            </w:r>
          </w:p>
        </w:tc>
      </w:tr>
      <w:tr w:rsidR="00F953FD" w:rsidRPr="00307BBD" w14:paraId="737B08A8" w14:textId="77777777" w:rsidTr="00536768">
        <w:tc>
          <w:tcPr>
            <w:tcW w:w="1410" w:type="dxa"/>
          </w:tcPr>
          <w:p w14:paraId="32785763" w14:textId="01492444" w:rsidR="00F953FD" w:rsidRPr="00307BBD" w:rsidRDefault="00F953FD" w:rsidP="00B43A39">
            <w:r w:rsidRPr="00307BBD">
              <w:t xml:space="preserve">Další událost </w:t>
            </w:r>
          </w:p>
        </w:tc>
        <w:tc>
          <w:tcPr>
            <w:tcW w:w="3547" w:type="dxa"/>
          </w:tcPr>
          <w:p w14:paraId="7ACA9603" w14:textId="77777777" w:rsidR="00F953FD" w:rsidRPr="00307BBD" w:rsidRDefault="00F953FD" w:rsidP="00F953FD">
            <w:r w:rsidRPr="00307BBD">
              <w:t>Platební podmínky:</w:t>
            </w:r>
          </w:p>
          <w:p w14:paraId="48E9FD21" w14:textId="77777777" w:rsidR="00F953FD" w:rsidRPr="00307BBD" w:rsidRDefault="00F953FD" w:rsidP="00F953FD"/>
          <w:p w14:paraId="53A0C78F" w14:textId="77777777" w:rsidR="00F953FD" w:rsidRPr="00307BBD" w:rsidRDefault="00F953FD" w:rsidP="00F953FD">
            <w:r w:rsidRPr="00307BBD">
              <w:t>v případě uzavření smlouvy s rezidentem:</w:t>
            </w:r>
          </w:p>
          <w:p w14:paraId="5A149A5B" w14:textId="77777777" w:rsidR="00F953FD" w:rsidRPr="00307BBD" w:rsidRDefault="00F953FD" w:rsidP="00F953FD">
            <w:r w:rsidRPr="00307BBD">
              <w:t>Kupující uhradí zálohu až do výše 50 % ceny Zboží, a to proti poskytnutí bankovní záruky na vrácení zálohy pro případ nesplnění nebo vadného plnění povinností dle Smlouvy, nejpozději do 10 (deseti) kalendářních dnů ode dne poskytnutí bankovní záruky Dodavatelem na základě obdržené faktury Dodavatele.</w:t>
            </w:r>
          </w:p>
          <w:p w14:paraId="637273FE" w14:textId="77777777" w:rsidR="00F953FD" w:rsidRPr="00307BBD" w:rsidRDefault="00F953FD" w:rsidP="00F953FD"/>
          <w:p w14:paraId="38D8B66F" w14:textId="77777777" w:rsidR="00F953FD" w:rsidRPr="00307BBD" w:rsidRDefault="00F953FD" w:rsidP="00F953FD">
            <w:r w:rsidRPr="00307BBD">
              <w:t>v případě uzavření smlouvy s nerezidentem:</w:t>
            </w:r>
          </w:p>
          <w:p w14:paraId="4DBD4DE0" w14:textId="6CDB8E06" w:rsidR="00F953FD" w:rsidRPr="00307BBD" w:rsidRDefault="00F953FD" w:rsidP="00F953FD">
            <w:r w:rsidRPr="00307BBD">
              <w:t xml:space="preserve">Platba až do výše 50 % z celkové částky Smlouvy proběhne formou neodvolatelného dokumentárního akreditivu. Akreditiv bude otevřen nejpozději do 20 kalendářních dnů ode dne doručení písemné žádosti o připravenost k uzavření Smlouvy </w:t>
            </w:r>
            <w:r w:rsidRPr="00307BBD">
              <w:lastRenderedPageBreak/>
              <w:t>(včetně každé části či dávky).</w:t>
            </w:r>
          </w:p>
        </w:tc>
        <w:tc>
          <w:tcPr>
            <w:tcW w:w="1275" w:type="dxa"/>
          </w:tcPr>
          <w:p w14:paraId="72616D34" w14:textId="17F844C5" w:rsidR="00F953FD" w:rsidRPr="00307BBD" w:rsidRDefault="00F953FD" w:rsidP="008E1B0B">
            <w:r w:rsidRPr="00307BBD">
              <w:lastRenderedPageBreak/>
              <w:t xml:space="preserve">Zálohová platba </w:t>
            </w:r>
          </w:p>
        </w:tc>
        <w:tc>
          <w:tcPr>
            <w:tcW w:w="1418" w:type="dxa"/>
          </w:tcPr>
          <w:p w14:paraId="1EA75423" w14:textId="15C8D300" w:rsidR="00F953FD" w:rsidRPr="00307BBD" w:rsidRDefault="00F953FD" w:rsidP="00B43A39">
            <w:r w:rsidRPr="00307BBD">
              <w:t xml:space="preserve">10 </w:t>
            </w:r>
          </w:p>
        </w:tc>
        <w:tc>
          <w:tcPr>
            <w:tcW w:w="1276" w:type="dxa"/>
          </w:tcPr>
          <w:p w14:paraId="14537A17" w14:textId="1C4FD12B" w:rsidR="00F953FD" w:rsidRPr="00307BBD" w:rsidRDefault="00F953FD" w:rsidP="00B43A39">
            <w:r w:rsidRPr="00307BBD">
              <w:t>Kalendářní</w:t>
            </w:r>
          </w:p>
        </w:tc>
        <w:tc>
          <w:tcPr>
            <w:tcW w:w="1530" w:type="dxa"/>
          </w:tcPr>
          <w:p w14:paraId="617F80BF" w14:textId="611EC7DF" w:rsidR="00F953FD" w:rsidRPr="00307BBD" w:rsidRDefault="00F953FD" w:rsidP="00B43A39">
            <w:r w:rsidRPr="00307BBD">
              <w:t>50</w:t>
            </w:r>
          </w:p>
        </w:tc>
      </w:tr>
      <w:tr w:rsidR="00F953FD" w:rsidRPr="00307BBD" w14:paraId="032379C7" w14:textId="77777777" w:rsidTr="00536768">
        <w:tc>
          <w:tcPr>
            <w:tcW w:w="1410" w:type="dxa"/>
          </w:tcPr>
          <w:p w14:paraId="4F3D5BA8" w14:textId="4AA3F79E" w:rsidR="00F953FD" w:rsidRPr="00307BBD" w:rsidRDefault="00F953FD" w:rsidP="00B43A39">
            <w:r w:rsidRPr="00307BBD">
              <w:t xml:space="preserve">Další událost </w:t>
            </w:r>
          </w:p>
        </w:tc>
        <w:tc>
          <w:tcPr>
            <w:tcW w:w="3547" w:type="dxa"/>
          </w:tcPr>
          <w:p w14:paraId="7FF21F62" w14:textId="57A1CB9F" w:rsidR="00F953FD" w:rsidRPr="00307BBD" w:rsidRDefault="00F953FD" w:rsidP="00583E3F">
            <w:r w:rsidRPr="00307BBD">
              <w:t>Další vyrovnání proběhne do 30 (třiceti) kalendářních dnů ode dne podpisu elektronického primárního dokumentu (výdajového</w:t>
            </w:r>
          </w:p>
        </w:tc>
        <w:tc>
          <w:tcPr>
            <w:tcW w:w="1275" w:type="dxa"/>
          </w:tcPr>
          <w:p w14:paraId="06AAED43" w14:textId="434F6C79" w:rsidR="00F953FD" w:rsidRPr="00307BBD" w:rsidRDefault="00F953FD" w:rsidP="008E1B0B">
            <w:r w:rsidRPr="00307BBD">
              <w:t xml:space="preserve">Platba po dodání </w:t>
            </w:r>
          </w:p>
        </w:tc>
        <w:tc>
          <w:tcPr>
            <w:tcW w:w="1418" w:type="dxa"/>
          </w:tcPr>
          <w:p w14:paraId="665CE427" w14:textId="59013ADE" w:rsidR="00F953FD" w:rsidRPr="00307BBD" w:rsidRDefault="00F953FD" w:rsidP="00B43A39">
            <w:r w:rsidRPr="00307BBD">
              <w:t xml:space="preserve">30 </w:t>
            </w:r>
          </w:p>
        </w:tc>
        <w:tc>
          <w:tcPr>
            <w:tcW w:w="1276" w:type="dxa"/>
          </w:tcPr>
          <w:p w14:paraId="14A98A95" w14:textId="1F3C44F2" w:rsidR="00F953FD" w:rsidRPr="00307BBD" w:rsidRDefault="00F953FD" w:rsidP="00B43A39">
            <w:r w:rsidRPr="00307BBD">
              <w:t>Kalendářní</w:t>
            </w:r>
          </w:p>
        </w:tc>
        <w:tc>
          <w:tcPr>
            <w:tcW w:w="1530" w:type="dxa"/>
          </w:tcPr>
          <w:p w14:paraId="47362482" w14:textId="662DB9C6" w:rsidR="00F953FD" w:rsidRPr="00307BBD" w:rsidRDefault="00F953FD" w:rsidP="00B43A39">
            <w:r w:rsidRPr="00307BBD">
              <w:t>50</w:t>
            </w:r>
          </w:p>
        </w:tc>
      </w:tr>
    </w:tbl>
    <w:p w14:paraId="52081D1A" w14:textId="77777777" w:rsidR="00EB4F9D" w:rsidRPr="00307BBD" w:rsidRDefault="00EB4F9D" w:rsidP="00E813E8"/>
    <w:p w14:paraId="1C5142E4" w14:textId="6A080900" w:rsidR="00EB4F9D" w:rsidRPr="00307BBD" w:rsidRDefault="00EB4F9D" w:rsidP="00EB4F9D">
      <w:bookmarkStart w:id="2" w:name="_Hlk132825464"/>
      <w:r w:rsidRPr="00307BBD">
        <w:t>Očekávaná hodnota položky nákupu:</w:t>
      </w:r>
      <w:r w:rsidRPr="00307BBD">
        <w:tab/>
      </w:r>
      <w:r w:rsidR="00536768" w:rsidRPr="00307BBD">
        <w:tab/>
      </w:r>
      <w:r w:rsidR="00536768" w:rsidRPr="00307BBD">
        <w:tab/>
      </w:r>
      <w:r w:rsidR="00F953FD" w:rsidRPr="00307BBD">
        <w:t>72 819 092,33 UAH (cca 1 492,2 EUR)</w:t>
      </w:r>
    </w:p>
    <w:p w14:paraId="747FF380" w14:textId="4684F1B9" w:rsidR="00EB4F9D" w:rsidRPr="00307BBD" w:rsidRDefault="00EB4F9D" w:rsidP="00EB4F9D">
      <w:r w:rsidRPr="00307BBD">
        <w:t>Minimální velikost kroku snížení ceny:</w:t>
      </w:r>
      <w:r w:rsidRPr="00307BBD">
        <w:tab/>
      </w:r>
      <w:r w:rsidR="00536768" w:rsidRPr="00307BBD">
        <w:tab/>
      </w:r>
      <w:r w:rsidR="00536768" w:rsidRPr="00307BBD">
        <w:tab/>
      </w:r>
      <w:r w:rsidR="00F953FD" w:rsidRPr="00307BBD">
        <w:t>364 095,46 UAH (cca 7,5 EUR)</w:t>
      </w:r>
    </w:p>
    <w:p w14:paraId="6BAD6B0F" w14:textId="77777777" w:rsidR="00EB4F9D" w:rsidRPr="00307BBD" w:rsidRDefault="00EB4F9D" w:rsidP="00536768">
      <w:pPr>
        <w:spacing w:after="0"/>
      </w:pPr>
      <w:r w:rsidRPr="00307BBD">
        <w:t>Matematický vzorec pro</w:t>
      </w:r>
    </w:p>
    <w:p w14:paraId="76F11E80" w14:textId="17E91EA9" w:rsidR="00EB4F9D" w:rsidRPr="00307BBD" w:rsidRDefault="00EB4F9D" w:rsidP="00EB4F9D">
      <w:r w:rsidRPr="00307BBD">
        <w:t>výpočet uvedené ceny (pokud se bude používat)</w:t>
      </w:r>
      <w:r w:rsidR="005E6E92" w:rsidRPr="00307BBD">
        <w:t>:</w:t>
      </w:r>
      <w:r w:rsidRPr="00307BBD">
        <w:tab/>
        <w:t>není uvedeno</w:t>
      </w:r>
    </w:p>
    <w:p w14:paraId="1B2BFEAD" w14:textId="2730D9A6" w:rsidR="00EB4F9D" w:rsidRPr="00307BBD" w:rsidRDefault="00EB4F9D" w:rsidP="00EB4F9D">
      <w:r w:rsidRPr="00307BBD">
        <w:t>Lhůta pro podání nabídek</w:t>
      </w:r>
      <w:r w:rsidR="005E6E92" w:rsidRPr="00307BBD">
        <w:t>:</w:t>
      </w:r>
      <w:r w:rsidRPr="00307BBD">
        <w:t xml:space="preserve"> </w:t>
      </w:r>
      <w:r w:rsidRPr="00307BBD">
        <w:tab/>
      </w:r>
      <w:r w:rsidRPr="00307BBD">
        <w:tab/>
      </w:r>
      <w:r w:rsidRPr="00307BBD">
        <w:tab/>
      </w:r>
      <w:r w:rsidRPr="00307BBD">
        <w:tab/>
      </w:r>
      <w:r w:rsidR="00F953FD" w:rsidRPr="00307BBD">
        <w:t>8. října 2025 16:00</w:t>
      </w:r>
    </w:p>
    <w:p w14:paraId="01D5F52A" w14:textId="119C4997" w:rsidR="00EB4F9D" w:rsidRPr="00307BBD" w:rsidRDefault="00EB4F9D" w:rsidP="00EB4F9D">
      <w:r w:rsidRPr="00307BBD">
        <w:t xml:space="preserve">Jazyk nabídky: </w:t>
      </w:r>
      <w:r w:rsidR="007178AE" w:rsidRPr="00307BBD">
        <w:tab/>
      </w:r>
      <w:r w:rsidR="007178AE" w:rsidRPr="00307BBD">
        <w:tab/>
      </w:r>
      <w:r w:rsidR="007178AE" w:rsidRPr="00307BBD">
        <w:tab/>
      </w:r>
      <w:r w:rsidR="007178AE" w:rsidRPr="00307BBD">
        <w:tab/>
      </w:r>
      <w:r w:rsidR="007178AE" w:rsidRPr="00307BBD">
        <w:tab/>
      </w:r>
      <w:r w:rsidR="007178AE" w:rsidRPr="00307BBD">
        <w:tab/>
      </w:r>
      <w:r w:rsidRPr="00307BBD">
        <w:t>ukrajinština</w:t>
      </w:r>
    </w:p>
    <w:p w14:paraId="36F18383" w14:textId="77777777" w:rsidR="00050327" w:rsidRPr="00307BBD" w:rsidRDefault="00EB4F9D" w:rsidP="00536768">
      <w:pPr>
        <w:spacing w:after="0"/>
      </w:pPr>
      <w:r w:rsidRPr="00307BBD">
        <w:t xml:space="preserve">Výše zabezpečení nabídky (pokud zákazník </w:t>
      </w:r>
    </w:p>
    <w:p w14:paraId="73349165" w14:textId="08F55DBC" w:rsidR="00EB4F9D" w:rsidRPr="00307BBD" w:rsidRDefault="00F953FD" w:rsidP="00F953FD">
      <w:r w:rsidRPr="00307BBD">
        <w:t xml:space="preserve">požaduje </w:t>
      </w:r>
      <w:r w:rsidR="00536768" w:rsidRPr="00307BBD">
        <w:t xml:space="preserve">její </w:t>
      </w:r>
      <w:r w:rsidR="00EB4F9D" w:rsidRPr="00307BBD">
        <w:t>zabezpečení):</w:t>
      </w:r>
      <w:r w:rsidR="00EB4F9D" w:rsidRPr="00307BBD">
        <w:tab/>
      </w:r>
      <w:r w:rsidR="00EB4F9D" w:rsidRPr="00307BBD">
        <w:tab/>
      </w:r>
      <w:r w:rsidR="00EB4F9D" w:rsidRPr="00307BBD">
        <w:tab/>
      </w:r>
      <w:r w:rsidR="00EB4F9D" w:rsidRPr="00307BBD">
        <w:tab/>
      </w:r>
      <w:r w:rsidRPr="00307BBD">
        <w:rPr>
          <w:rFonts w:ascii="TimesNewRomanPSMT" w:eastAsia="Times New Roman" w:hAnsi="TimesNewRomanPSMT" w:cs="Times New Roman"/>
          <w:color w:val="000000"/>
          <w:lang w:eastAsia="uk-UA"/>
        </w:rPr>
        <w:t>728 190,92 UAH (cca 14,9 EUR)</w:t>
      </w:r>
    </w:p>
    <w:p w14:paraId="3521B604" w14:textId="77777777" w:rsidR="00050327" w:rsidRPr="00307BBD" w:rsidRDefault="00EB4F9D" w:rsidP="00536768">
      <w:pPr>
        <w:spacing w:after="0"/>
      </w:pPr>
      <w:r w:rsidRPr="00307BBD">
        <w:t xml:space="preserve">Druh zabezpečení nabídky (pokud zákazník </w:t>
      </w:r>
    </w:p>
    <w:p w14:paraId="0F596CE2" w14:textId="2893015C" w:rsidR="00EB4F9D" w:rsidRPr="00307BBD" w:rsidRDefault="00F953FD" w:rsidP="00F953FD">
      <w:r w:rsidRPr="00307BBD">
        <w:t xml:space="preserve">požaduje </w:t>
      </w:r>
      <w:r w:rsidR="00EB4F9D" w:rsidRPr="00307BBD">
        <w:t>její zabezpečení)</w:t>
      </w:r>
      <w:r w:rsidR="005E6E92" w:rsidRPr="00307BBD">
        <w:t>:</w:t>
      </w:r>
      <w:r w:rsidR="00EB4F9D" w:rsidRPr="00307BBD">
        <w:tab/>
      </w:r>
      <w:r w:rsidR="00EB4F9D" w:rsidRPr="00307BBD">
        <w:tab/>
      </w:r>
      <w:r w:rsidR="00EB4F9D" w:rsidRPr="00307BBD">
        <w:tab/>
      </w:r>
      <w:r w:rsidR="00EB4F9D" w:rsidRPr="00307BBD">
        <w:tab/>
      </w:r>
      <w:r w:rsidR="00BC4C44" w:rsidRPr="00307BBD">
        <w:t>elektronická záruka</w:t>
      </w:r>
    </w:p>
    <w:p w14:paraId="74B2DE6F" w14:textId="1B56C7BC" w:rsidR="00EB4F9D" w:rsidRPr="00307BBD" w:rsidRDefault="00EB4F9D" w:rsidP="00EB4F9D">
      <w:r w:rsidRPr="00307BBD">
        <w:t>Datum a čas otevření nabíd</w:t>
      </w:r>
      <w:r w:rsidR="005C2D46" w:rsidRPr="00307BBD">
        <w:t>ek</w:t>
      </w:r>
      <w:r w:rsidR="005E6E92" w:rsidRPr="00307BBD">
        <w:t>:</w:t>
      </w:r>
      <w:r w:rsidR="005C2D46" w:rsidRPr="00307BBD">
        <w:tab/>
      </w:r>
      <w:r w:rsidR="005C2D46" w:rsidRPr="00307BBD">
        <w:tab/>
      </w:r>
      <w:r w:rsidR="005C2D46" w:rsidRPr="00307BBD">
        <w:tab/>
      </w:r>
      <w:r w:rsidR="005C2D46" w:rsidRPr="00307BBD">
        <w:tab/>
      </w:r>
      <w:bookmarkEnd w:id="2"/>
      <w:r w:rsidR="00F953FD" w:rsidRPr="00307BBD">
        <w:t>8. října 2025 16:00</w:t>
      </w:r>
    </w:p>
    <w:p w14:paraId="0D0C3B58" w14:textId="7BE5ACC3" w:rsidR="00D644B1" w:rsidRPr="00307BBD" w:rsidRDefault="00D644B1" w:rsidP="00EB4F9D">
      <w:r w:rsidRPr="00307BBD">
        <w:t>Datum a čas elektronické aukce</w:t>
      </w:r>
      <w:r w:rsidR="005E6E92" w:rsidRPr="00307BBD">
        <w:t>:</w:t>
      </w:r>
      <w:r w:rsidRPr="00307BBD">
        <w:tab/>
      </w:r>
      <w:r w:rsidRPr="00307BBD">
        <w:tab/>
      </w:r>
      <w:r w:rsidRPr="00307BBD">
        <w:tab/>
      </w:r>
      <w:r w:rsidR="00E8443C" w:rsidRPr="00307BBD">
        <w:t>není uvedeno</w:t>
      </w:r>
    </w:p>
    <w:sectPr w:rsidR="00D644B1" w:rsidRPr="00307BBD" w:rsidSect="00E813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13E8"/>
    <w:rsid w:val="000031DE"/>
    <w:rsid w:val="0000793A"/>
    <w:rsid w:val="00015459"/>
    <w:rsid w:val="00021008"/>
    <w:rsid w:val="00022199"/>
    <w:rsid w:val="00030CC9"/>
    <w:rsid w:val="00050327"/>
    <w:rsid w:val="00055FAB"/>
    <w:rsid w:val="00080300"/>
    <w:rsid w:val="0008718B"/>
    <w:rsid w:val="00087DF0"/>
    <w:rsid w:val="0009002B"/>
    <w:rsid w:val="00092745"/>
    <w:rsid w:val="000C229E"/>
    <w:rsid w:val="000F0DCD"/>
    <w:rsid w:val="000F2D70"/>
    <w:rsid w:val="000F2FFE"/>
    <w:rsid w:val="000F438D"/>
    <w:rsid w:val="001102E9"/>
    <w:rsid w:val="00113855"/>
    <w:rsid w:val="00117942"/>
    <w:rsid w:val="00132641"/>
    <w:rsid w:val="00151CDC"/>
    <w:rsid w:val="001866E8"/>
    <w:rsid w:val="001A76CE"/>
    <w:rsid w:val="001B15F9"/>
    <w:rsid w:val="001C3A59"/>
    <w:rsid w:val="001D2471"/>
    <w:rsid w:val="001E5F9A"/>
    <w:rsid w:val="0021153F"/>
    <w:rsid w:val="00214B53"/>
    <w:rsid w:val="0022607D"/>
    <w:rsid w:val="00251E1D"/>
    <w:rsid w:val="002A3D60"/>
    <w:rsid w:val="002A60E7"/>
    <w:rsid w:val="002E11DB"/>
    <w:rsid w:val="002E12C9"/>
    <w:rsid w:val="002E5499"/>
    <w:rsid w:val="0030130E"/>
    <w:rsid w:val="003019E4"/>
    <w:rsid w:val="00307BBD"/>
    <w:rsid w:val="00315952"/>
    <w:rsid w:val="00327077"/>
    <w:rsid w:val="00343459"/>
    <w:rsid w:val="00347DB6"/>
    <w:rsid w:val="00366AF0"/>
    <w:rsid w:val="0037489B"/>
    <w:rsid w:val="003758C2"/>
    <w:rsid w:val="00390296"/>
    <w:rsid w:val="00392F1B"/>
    <w:rsid w:val="003A0624"/>
    <w:rsid w:val="003A7CC5"/>
    <w:rsid w:val="003B0DD8"/>
    <w:rsid w:val="003C00AF"/>
    <w:rsid w:val="003C3C81"/>
    <w:rsid w:val="003C532D"/>
    <w:rsid w:val="0040065E"/>
    <w:rsid w:val="004150BA"/>
    <w:rsid w:val="00415B4C"/>
    <w:rsid w:val="00452D0B"/>
    <w:rsid w:val="004938C6"/>
    <w:rsid w:val="00494C9A"/>
    <w:rsid w:val="004A44EF"/>
    <w:rsid w:val="004B0441"/>
    <w:rsid w:val="004B7A9A"/>
    <w:rsid w:val="004C4E51"/>
    <w:rsid w:val="004D114B"/>
    <w:rsid w:val="004D4EFC"/>
    <w:rsid w:val="004E7091"/>
    <w:rsid w:val="00514A53"/>
    <w:rsid w:val="00536768"/>
    <w:rsid w:val="00546039"/>
    <w:rsid w:val="00551E28"/>
    <w:rsid w:val="00570D82"/>
    <w:rsid w:val="00583E3F"/>
    <w:rsid w:val="005C119A"/>
    <w:rsid w:val="005C2D46"/>
    <w:rsid w:val="005C3470"/>
    <w:rsid w:val="005E6E92"/>
    <w:rsid w:val="006319EF"/>
    <w:rsid w:val="00634D2E"/>
    <w:rsid w:val="00647F3F"/>
    <w:rsid w:val="00672173"/>
    <w:rsid w:val="006727DC"/>
    <w:rsid w:val="006807CC"/>
    <w:rsid w:val="006838E6"/>
    <w:rsid w:val="0069073E"/>
    <w:rsid w:val="006B05D5"/>
    <w:rsid w:val="006B5783"/>
    <w:rsid w:val="006D077F"/>
    <w:rsid w:val="006D4B24"/>
    <w:rsid w:val="006E2625"/>
    <w:rsid w:val="006F62F8"/>
    <w:rsid w:val="007006AC"/>
    <w:rsid w:val="00702CE0"/>
    <w:rsid w:val="00704A8C"/>
    <w:rsid w:val="0070544D"/>
    <w:rsid w:val="00707F74"/>
    <w:rsid w:val="007178AE"/>
    <w:rsid w:val="00750037"/>
    <w:rsid w:val="007876BC"/>
    <w:rsid w:val="007A04B9"/>
    <w:rsid w:val="007B6C9F"/>
    <w:rsid w:val="007B7645"/>
    <w:rsid w:val="007E1F20"/>
    <w:rsid w:val="007E4D1A"/>
    <w:rsid w:val="007E5A01"/>
    <w:rsid w:val="00803294"/>
    <w:rsid w:val="00814E3E"/>
    <w:rsid w:val="0087216E"/>
    <w:rsid w:val="00872F4A"/>
    <w:rsid w:val="00882B6C"/>
    <w:rsid w:val="00887C65"/>
    <w:rsid w:val="008C1C34"/>
    <w:rsid w:val="008C7AEC"/>
    <w:rsid w:val="008D79BA"/>
    <w:rsid w:val="008E1B0B"/>
    <w:rsid w:val="008F1F1E"/>
    <w:rsid w:val="00901AE7"/>
    <w:rsid w:val="00903910"/>
    <w:rsid w:val="00911646"/>
    <w:rsid w:val="00920B0D"/>
    <w:rsid w:val="009445CD"/>
    <w:rsid w:val="00961C5D"/>
    <w:rsid w:val="00993367"/>
    <w:rsid w:val="00A00539"/>
    <w:rsid w:val="00A06B8B"/>
    <w:rsid w:val="00A0784C"/>
    <w:rsid w:val="00A21F27"/>
    <w:rsid w:val="00A23053"/>
    <w:rsid w:val="00A712BC"/>
    <w:rsid w:val="00A779D8"/>
    <w:rsid w:val="00A8149F"/>
    <w:rsid w:val="00A8583C"/>
    <w:rsid w:val="00AC328F"/>
    <w:rsid w:val="00AF2087"/>
    <w:rsid w:val="00AF68CE"/>
    <w:rsid w:val="00B003FF"/>
    <w:rsid w:val="00B14229"/>
    <w:rsid w:val="00B16DB2"/>
    <w:rsid w:val="00B43A39"/>
    <w:rsid w:val="00B74316"/>
    <w:rsid w:val="00B828FD"/>
    <w:rsid w:val="00B94114"/>
    <w:rsid w:val="00BA586A"/>
    <w:rsid w:val="00BC0E00"/>
    <w:rsid w:val="00BC4596"/>
    <w:rsid w:val="00BC4C44"/>
    <w:rsid w:val="00BD00F5"/>
    <w:rsid w:val="00C07C98"/>
    <w:rsid w:val="00C1259D"/>
    <w:rsid w:val="00C61C91"/>
    <w:rsid w:val="00C8170C"/>
    <w:rsid w:val="00C90F6D"/>
    <w:rsid w:val="00C91255"/>
    <w:rsid w:val="00CB64D0"/>
    <w:rsid w:val="00CC27BA"/>
    <w:rsid w:val="00CC6C4C"/>
    <w:rsid w:val="00CD224A"/>
    <w:rsid w:val="00CF6CBC"/>
    <w:rsid w:val="00D202D8"/>
    <w:rsid w:val="00D42ED2"/>
    <w:rsid w:val="00D45FD0"/>
    <w:rsid w:val="00D55CBF"/>
    <w:rsid w:val="00D56F7D"/>
    <w:rsid w:val="00D644B1"/>
    <w:rsid w:val="00D659ED"/>
    <w:rsid w:val="00D67E39"/>
    <w:rsid w:val="00D76EC1"/>
    <w:rsid w:val="00D801ED"/>
    <w:rsid w:val="00D81E62"/>
    <w:rsid w:val="00DA5F68"/>
    <w:rsid w:val="00DB10C9"/>
    <w:rsid w:val="00DB3A8F"/>
    <w:rsid w:val="00DD0A5D"/>
    <w:rsid w:val="00DE2128"/>
    <w:rsid w:val="00DF6CC8"/>
    <w:rsid w:val="00E36F9D"/>
    <w:rsid w:val="00E45BF7"/>
    <w:rsid w:val="00E52C03"/>
    <w:rsid w:val="00E662C0"/>
    <w:rsid w:val="00E674C4"/>
    <w:rsid w:val="00E813E8"/>
    <w:rsid w:val="00E8443C"/>
    <w:rsid w:val="00EA38CE"/>
    <w:rsid w:val="00EB054F"/>
    <w:rsid w:val="00EB4F9D"/>
    <w:rsid w:val="00F00689"/>
    <w:rsid w:val="00F02AC7"/>
    <w:rsid w:val="00F07236"/>
    <w:rsid w:val="00F07FC3"/>
    <w:rsid w:val="00F13C42"/>
    <w:rsid w:val="00F150B6"/>
    <w:rsid w:val="00F157B9"/>
    <w:rsid w:val="00F2692B"/>
    <w:rsid w:val="00F33088"/>
    <w:rsid w:val="00F53504"/>
    <w:rsid w:val="00F54392"/>
    <w:rsid w:val="00F57EE9"/>
    <w:rsid w:val="00F60E8D"/>
    <w:rsid w:val="00F72B3D"/>
    <w:rsid w:val="00F8127F"/>
    <w:rsid w:val="00F86388"/>
    <w:rsid w:val="00F953FD"/>
    <w:rsid w:val="00FB47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6470"/>
  <w15:docId w15:val="{CE9ACE59-FFBE-4102-A26B-39A6B0D0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B0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AF2087"/>
    <w:rPr>
      <w:color w:val="0563C1" w:themeColor="hyperlink"/>
      <w:u w:val="single"/>
    </w:rPr>
  </w:style>
  <w:style w:type="character" w:customStyle="1" w:styleId="Nevyeenzmnka1">
    <w:name w:val="Nevyřešená zmínka1"/>
    <w:basedOn w:val="Standardnpsmoodstavce"/>
    <w:uiPriority w:val="99"/>
    <w:semiHidden/>
    <w:unhideWhenUsed/>
    <w:rsid w:val="00AF2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98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2214</Characters>
  <Application>Microsoft Office Word</Application>
  <DocSecurity>0</DocSecurity>
  <Lines>18</Lines>
  <Paragraphs>5</Paragraphs>
  <ScaleCrop>false</ScaleCrop>
  <HeadingPairs>
    <vt:vector size="4" baseType="variant">
      <vt:variant>
        <vt:lpstr>Назва</vt:lpstr>
      </vt:variant>
      <vt:variant>
        <vt:i4>1</vt:i4>
      </vt:variant>
      <vt:variant>
        <vt:lpstr>Název</vt:lpstr>
      </vt:variant>
      <vt:variant>
        <vt:i4>1</vt:i4>
      </vt:variant>
    </vt:vector>
  </HeadingPairs>
  <TitlesOfParts>
    <vt:vector size="2" baseType="lpstr">
      <vt:lpstr/>
      <vt:lpstr/>
    </vt:vector>
  </TitlesOfParts>
  <Company>Czechtrade.cz</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Antonenko Oksana</dc:creator>
  <cp:lastModifiedBy>Durova Jana</cp:lastModifiedBy>
  <cp:revision>3</cp:revision>
  <cp:lastPrinted>2023-04-19T15:57:00Z</cp:lastPrinted>
  <dcterms:created xsi:type="dcterms:W3CDTF">2025-09-23T19:23:00Z</dcterms:created>
  <dcterms:modified xsi:type="dcterms:W3CDTF">2025-09-23T20:47:00Z</dcterms:modified>
</cp:coreProperties>
</file>