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2551F" w14:textId="77777777" w:rsidR="00E813E8" w:rsidRPr="00C03FC3" w:rsidRDefault="00570D82" w:rsidP="00E813E8">
      <w:pPr>
        <w:jc w:val="center"/>
        <w:rPr>
          <w:b/>
        </w:rPr>
      </w:pPr>
      <w:r w:rsidRPr="00C03FC3">
        <w:rPr>
          <w:b/>
        </w:rPr>
        <w:t>Výzva</w:t>
      </w:r>
    </w:p>
    <w:p w14:paraId="286849A0" w14:textId="77777777" w:rsidR="00E813E8" w:rsidRPr="00C03FC3" w:rsidRDefault="00E813E8" w:rsidP="00E813E8">
      <w:pPr>
        <w:jc w:val="center"/>
        <w:rPr>
          <w:b/>
        </w:rPr>
      </w:pPr>
      <w:r w:rsidRPr="00C03FC3">
        <w:rPr>
          <w:b/>
        </w:rPr>
        <w:t>Veřejné řízení</w:t>
      </w:r>
    </w:p>
    <w:p w14:paraId="43DD3DEA" w14:textId="55611562" w:rsidR="00E36F9D" w:rsidRPr="00C03FC3" w:rsidRDefault="00A27AE4" w:rsidP="00E36F9D">
      <w:pPr>
        <w:jc w:val="center"/>
      </w:pPr>
      <w:bookmarkStart w:id="0" w:name="_Hlk132825440"/>
      <w:r w:rsidRPr="00C03FC3">
        <w:t>UA-2025-09-15-000911-a</w:t>
      </w:r>
    </w:p>
    <w:p w14:paraId="199D1C17" w14:textId="2DF75217" w:rsidR="00814E3E" w:rsidRPr="00C03FC3" w:rsidRDefault="00E813E8" w:rsidP="00B74316">
      <w:r w:rsidRPr="00C03FC3">
        <w:t xml:space="preserve">Název zákazníka: </w:t>
      </w:r>
      <w:r w:rsidRPr="00C03FC3">
        <w:tab/>
      </w:r>
      <w:r w:rsidRPr="00C03FC3">
        <w:tab/>
      </w:r>
      <w:r w:rsidR="00B74316" w:rsidRPr="00C03FC3">
        <w:t xml:space="preserve">Veřejná </w:t>
      </w:r>
      <w:r w:rsidR="006D077F" w:rsidRPr="00C03FC3">
        <w:t xml:space="preserve">akciová společnost </w:t>
      </w:r>
      <w:r w:rsidR="008C1C34" w:rsidRPr="00C03FC3">
        <w:t>UKRNAFTA</w:t>
      </w:r>
    </w:p>
    <w:p w14:paraId="3B4B6F47" w14:textId="6F31BF20" w:rsidR="00F54392" w:rsidRPr="00C03FC3" w:rsidRDefault="00E813E8" w:rsidP="00F54392">
      <w:pPr>
        <w:ind w:left="2830" w:hanging="2830"/>
      </w:pPr>
      <w:r w:rsidRPr="00C03FC3">
        <w:t xml:space="preserve">Kategorie zákazníka: </w:t>
      </w:r>
      <w:r w:rsidRPr="00C03FC3">
        <w:tab/>
      </w:r>
      <w:r w:rsidR="00B74316" w:rsidRPr="00C03FC3">
        <w:t>Právnická osoba, která vykonává činnost v jedné nebo několika samostatných oblastech podnikání</w:t>
      </w:r>
    </w:p>
    <w:p w14:paraId="57F8D739" w14:textId="46678A21" w:rsidR="00814E3E" w:rsidRPr="00C03FC3" w:rsidRDefault="00E813E8" w:rsidP="00814E3E">
      <w:r w:rsidRPr="00C03FC3">
        <w:t xml:space="preserve">Identifikační kód zákazníka </w:t>
      </w:r>
      <w:r w:rsidRPr="00C03FC3">
        <w:tab/>
      </w:r>
      <w:r w:rsidR="00B74316" w:rsidRPr="00C03FC3">
        <w:rPr>
          <w:rFonts w:ascii="TimesNewRomanPSMT" w:eastAsia="Times New Roman" w:hAnsi="TimesNewRomanPSMT" w:cs="Times New Roman"/>
          <w:color w:val="000000"/>
          <w:lang w:eastAsia="uk-UA"/>
        </w:rPr>
        <w:t>00135390</w:t>
      </w:r>
    </w:p>
    <w:p w14:paraId="00659D26" w14:textId="27719B02" w:rsidR="00814E3E" w:rsidRPr="00C03FC3" w:rsidRDefault="00E813E8" w:rsidP="00814E3E">
      <w:r w:rsidRPr="00C03FC3">
        <w:t xml:space="preserve">Sídlo zákazníka: </w:t>
      </w:r>
      <w:r w:rsidRPr="00C03FC3">
        <w:tab/>
      </w:r>
      <w:r w:rsidRPr="00C03FC3">
        <w:tab/>
      </w:r>
      <w:r w:rsidR="00AC54A3" w:rsidRPr="00C03FC3">
        <w:t xml:space="preserve">Nestorivskyj provulok, 3-5, </w:t>
      </w:r>
      <w:r w:rsidR="00B74316" w:rsidRPr="00C03FC3">
        <w:t>04053</w:t>
      </w:r>
      <w:r w:rsidR="00AC54A3" w:rsidRPr="00C03FC3">
        <w:t xml:space="preserve"> Kyjev</w:t>
      </w:r>
      <w:r w:rsidR="00B74316" w:rsidRPr="00C03FC3">
        <w:t xml:space="preserve"> </w:t>
      </w:r>
    </w:p>
    <w:p w14:paraId="554A5C72" w14:textId="0232C5AB" w:rsidR="00080300" w:rsidRPr="00C03FC3" w:rsidRDefault="00E813E8" w:rsidP="00080300">
      <w:r w:rsidRPr="00C03FC3">
        <w:t>Kontaktní osoba zákazníka</w:t>
      </w:r>
      <w:r w:rsidRPr="00C03FC3">
        <w:tab/>
      </w:r>
      <w:r w:rsidR="00A27AE4" w:rsidRPr="00C03FC3">
        <w:t>Yulia Nazarenko, +380975200267, yuliia.nazarenko@ukrnafta.com</w:t>
      </w:r>
    </w:p>
    <w:p w14:paraId="20C9709D" w14:textId="77777777" w:rsidR="00E813E8" w:rsidRPr="00C03FC3" w:rsidRDefault="00E813E8" w:rsidP="00961C5D">
      <w:r w:rsidRPr="00C03FC3">
        <w:t xml:space="preserve">Typ položky nákupu: </w:t>
      </w:r>
      <w:r w:rsidRPr="00C03FC3">
        <w:tab/>
      </w:r>
      <w:r w:rsidRPr="00C03FC3">
        <w:tab/>
        <w:t>Zboží</w:t>
      </w:r>
    </w:p>
    <w:p w14:paraId="61E06CB8" w14:textId="2A384AB1" w:rsidR="00AC54A3" w:rsidRPr="00C03FC3" w:rsidRDefault="00E813E8" w:rsidP="00AC54A3">
      <w:pPr>
        <w:ind w:left="2832" w:hanging="2832"/>
      </w:pPr>
      <w:r w:rsidRPr="00C03FC3">
        <w:t xml:space="preserve">Název předmětu koupě: </w:t>
      </w:r>
      <w:r w:rsidRPr="00C03FC3">
        <w:tab/>
      </w:r>
      <w:r w:rsidR="00A27AE4" w:rsidRPr="00C03FC3">
        <w:t>Čerpadlové trubky v různých provedeních</w:t>
      </w:r>
    </w:p>
    <w:p w14:paraId="40C1724B" w14:textId="0B803B1E" w:rsidR="003B0DD8" w:rsidRPr="00C03FC3" w:rsidRDefault="00E813E8" w:rsidP="00691D04">
      <w:pPr>
        <w:spacing w:after="0"/>
      </w:pPr>
      <w:r w:rsidRPr="00C03FC3">
        <w:t xml:space="preserve">Kód podle jednotného </w:t>
      </w:r>
      <w:r w:rsidR="00920B0D" w:rsidRPr="00C03FC3">
        <w:t>nákupního</w:t>
      </w:r>
      <w:r w:rsidR="00570D82" w:rsidRPr="00C03FC3">
        <w:t xml:space="preserve"> </w:t>
      </w:r>
      <w:r w:rsidRPr="00C03FC3">
        <w:t>rejstříku</w:t>
      </w:r>
      <w:r w:rsidR="00DF6CC8" w:rsidRPr="00C03FC3">
        <w:t>:</w:t>
      </w:r>
      <w:r w:rsidRPr="00C03FC3">
        <w:t xml:space="preserve"> </w:t>
      </w:r>
      <w:r w:rsidR="00A27AE4" w:rsidRPr="00C03FC3">
        <w:t>DK 021:2015: 44160000-9: Dálkové potrubí, potrubí, trubky, pažnicové trubky, tubinky a příslušenství</w:t>
      </w:r>
    </w:p>
    <w:p w14:paraId="5D56F9EA" w14:textId="64A2E406" w:rsidR="003A0624" w:rsidRPr="00C03FC3" w:rsidRDefault="003A0624" w:rsidP="00F13C42">
      <w:pPr>
        <w:spacing w:after="0"/>
      </w:pPr>
    </w:p>
    <w:tbl>
      <w:tblPr>
        <w:tblStyle w:val="Mkatabulky"/>
        <w:tblW w:w="0" w:type="auto"/>
        <w:tblLayout w:type="fixed"/>
        <w:tblLook w:val="04A0" w:firstRow="1" w:lastRow="0" w:firstColumn="1" w:lastColumn="0" w:noHBand="0" w:noVBand="1"/>
      </w:tblPr>
      <w:tblGrid>
        <w:gridCol w:w="2689"/>
        <w:gridCol w:w="2835"/>
        <w:gridCol w:w="1417"/>
        <w:gridCol w:w="2000"/>
        <w:gridCol w:w="1515"/>
      </w:tblGrid>
      <w:tr w:rsidR="002A60E7" w:rsidRPr="00C03FC3" w14:paraId="0CD7AC24" w14:textId="77777777" w:rsidTr="00B74316">
        <w:tc>
          <w:tcPr>
            <w:tcW w:w="2689" w:type="dxa"/>
          </w:tcPr>
          <w:bookmarkEnd w:id="0"/>
          <w:p w14:paraId="6CBE80D0" w14:textId="77777777" w:rsidR="00EB054F" w:rsidRPr="00C03FC3" w:rsidRDefault="00390296" w:rsidP="00E813E8">
            <w:r w:rsidRPr="00C03FC3">
              <w:t>Název položky nákupu</w:t>
            </w:r>
          </w:p>
        </w:tc>
        <w:tc>
          <w:tcPr>
            <w:tcW w:w="2835" w:type="dxa"/>
          </w:tcPr>
          <w:p w14:paraId="6360A099" w14:textId="77777777" w:rsidR="00EB054F" w:rsidRPr="00C03FC3" w:rsidRDefault="00390296" w:rsidP="00E813E8">
            <w:r w:rsidRPr="00C03FC3">
              <w:t xml:space="preserve">Kód podle jednotného nákupního rejstříku </w:t>
            </w:r>
          </w:p>
        </w:tc>
        <w:tc>
          <w:tcPr>
            <w:tcW w:w="1417" w:type="dxa"/>
          </w:tcPr>
          <w:p w14:paraId="0CFE034C" w14:textId="77777777" w:rsidR="00EB054F" w:rsidRPr="00C03FC3" w:rsidRDefault="00C8170C" w:rsidP="00E813E8">
            <w:r w:rsidRPr="00C03FC3">
              <w:t>Počet zboží nebo rozsah prací či služeb</w:t>
            </w:r>
          </w:p>
        </w:tc>
        <w:tc>
          <w:tcPr>
            <w:tcW w:w="2000" w:type="dxa"/>
          </w:tcPr>
          <w:p w14:paraId="07D13BCD" w14:textId="77777777" w:rsidR="00EB054F" w:rsidRPr="00C03FC3" w:rsidRDefault="00390296" w:rsidP="00E813E8">
            <w:r w:rsidRPr="00C03FC3">
              <w:t>Místo dodání zboží nebo vykonání prací nebo služeb</w:t>
            </w:r>
          </w:p>
        </w:tc>
        <w:tc>
          <w:tcPr>
            <w:tcW w:w="1515" w:type="dxa"/>
          </w:tcPr>
          <w:p w14:paraId="00EFDC00" w14:textId="77777777" w:rsidR="00EB054F" w:rsidRPr="00C03FC3" w:rsidRDefault="00390296" w:rsidP="00E813E8">
            <w:r w:rsidRPr="00C03FC3">
              <w:t>Termín dodání zboží, vykonání prací nebo služeb</w:t>
            </w:r>
          </w:p>
        </w:tc>
      </w:tr>
      <w:tr w:rsidR="00A27AE4" w:rsidRPr="00C03FC3" w14:paraId="29549074" w14:textId="77777777" w:rsidTr="00056774">
        <w:tc>
          <w:tcPr>
            <w:tcW w:w="2689" w:type="dxa"/>
            <w:vAlign w:val="center"/>
          </w:tcPr>
          <w:p w14:paraId="48F3A723" w14:textId="6C64193E" w:rsidR="00A27AE4" w:rsidRPr="00C03FC3" w:rsidRDefault="00A27AE4" w:rsidP="00F02AC7">
            <w:r w:rsidRPr="00C03FC3">
              <w:t>Čerpadlová trubka 60,32x4,83 N80 EUE</w:t>
            </w:r>
          </w:p>
        </w:tc>
        <w:tc>
          <w:tcPr>
            <w:tcW w:w="2835" w:type="dxa"/>
            <w:vAlign w:val="center"/>
          </w:tcPr>
          <w:p w14:paraId="465FC8B0" w14:textId="652B43B4" w:rsidR="00A27AE4" w:rsidRPr="00C03FC3" w:rsidRDefault="00A27AE4" w:rsidP="007C3B69">
            <w:pPr>
              <w:autoSpaceDE w:val="0"/>
              <w:autoSpaceDN w:val="0"/>
              <w:adjustRightInd w:val="0"/>
            </w:pPr>
            <w:r w:rsidRPr="00C03FC3">
              <w:t>DK 021:2015: 44160000-9- Dálkové potrubí, potrubí, trubky, pažnicové trubky, tubinky a příslušenství</w:t>
            </w:r>
          </w:p>
        </w:tc>
        <w:tc>
          <w:tcPr>
            <w:tcW w:w="1417" w:type="dxa"/>
            <w:vAlign w:val="center"/>
          </w:tcPr>
          <w:p w14:paraId="63A2D75C" w14:textId="40AC6FD1" w:rsidR="00A27AE4" w:rsidRPr="00C03FC3" w:rsidRDefault="00A27AE4" w:rsidP="00E813E8">
            <w:r w:rsidRPr="00C03FC3">
              <w:t xml:space="preserve">20 t </w:t>
            </w:r>
          </w:p>
        </w:tc>
        <w:tc>
          <w:tcPr>
            <w:tcW w:w="2000" w:type="dxa"/>
            <w:vAlign w:val="center"/>
          </w:tcPr>
          <w:p w14:paraId="792CD2F0" w14:textId="70C84189" w:rsidR="00A27AE4" w:rsidRPr="00C03FC3" w:rsidRDefault="00A27AE4" w:rsidP="008E1B0B">
            <w:r w:rsidRPr="00C03FC3">
              <w:t>Ukrajina, podle dokumentace</w:t>
            </w:r>
          </w:p>
        </w:tc>
        <w:tc>
          <w:tcPr>
            <w:tcW w:w="1515" w:type="dxa"/>
            <w:vAlign w:val="center"/>
          </w:tcPr>
          <w:p w14:paraId="47A53E51" w14:textId="50668709" w:rsidR="00A27AE4" w:rsidRPr="00C03FC3" w:rsidRDefault="00A27AE4" w:rsidP="00E813E8">
            <w:r w:rsidRPr="00C03FC3">
              <w:t>do 30. června 2026</w:t>
            </w:r>
          </w:p>
        </w:tc>
      </w:tr>
      <w:tr w:rsidR="00A27AE4" w:rsidRPr="00C03FC3" w14:paraId="17F09932" w14:textId="77777777" w:rsidTr="00056774">
        <w:tc>
          <w:tcPr>
            <w:tcW w:w="2689" w:type="dxa"/>
            <w:vAlign w:val="center"/>
          </w:tcPr>
          <w:p w14:paraId="263394D2" w14:textId="08573858" w:rsidR="00A27AE4" w:rsidRPr="00C03FC3" w:rsidRDefault="00A27AE4" w:rsidP="00F02AC7">
            <w:r w:rsidRPr="00C03FC3">
              <w:t>Čerpadlová trubka 73,02x5,51 N80 NUE</w:t>
            </w:r>
          </w:p>
        </w:tc>
        <w:tc>
          <w:tcPr>
            <w:tcW w:w="2835" w:type="dxa"/>
            <w:vAlign w:val="center"/>
          </w:tcPr>
          <w:p w14:paraId="23E0FE14" w14:textId="151933CE" w:rsidR="00A27AE4" w:rsidRPr="00C03FC3" w:rsidRDefault="00A27AE4" w:rsidP="007C3B69">
            <w:pPr>
              <w:autoSpaceDE w:val="0"/>
              <w:autoSpaceDN w:val="0"/>
              <w:adjustRightInd w:val="0"/>
            </w:pPr>
            <w:r w:rsidRPr="00C03FC3">
              <w:t>DK 021:2015: 44160000-9- Dálkové potrubí, potrubí, trubky, pažnicové trubky, tubinky a příslušenství</w:t>
            </w:r>
          </w:p>
        </w:tc>
        <w:tc>
          <w:tcPr>
            <w:tcW w:w="1417" w:type="dxa"/>
            <w:vAlign w:val="center"/>
          </w:tcPr>
          <w:p w14:paraId="09800B2D" w14:textId="02E52348" w:rsidR="00A27AE4" w:rsidRPr="00C03FC3" w:rsidRDefault="00A27AE4" w:rsidP="00E813E8">
            <w:r w:rsidRPr="00C03FC3">
              <w:t xml:space="preserve">490 t </w:t>
            </w:r>
          </w:p>
        </w:tc>
        <w:tc>
          <w:tcPr>
            <w:tcW w:w="2000" w:type="dxa"/>
            <w:vAlign w:val="center"/>
          </w:tcPr>
          <w:p w14:paraId="103982E2" w14:textId="2B873289" w:rsidR="00A27AE4" w:rsidRPr="00C03FC3" w:rsidRDefault="00A27AE4" w:rsidP="008E1B0B">
            <w:r w:rsidRPr="00C03FC3">
              <w:t>Ukrajina, podle dokumentace</w:t>
            </w:r>
          </w:p>
        </w:tc>
        <w:tc>
          <w:tcPr>
            <w:tcW w:w="1515" w:type="dxa"/>
            <w:vAlign w:val="center"/>
          </w:tcPr>
          <w:p w14:paraId="095EE129" w14:textId="7CAA8025" w:rsidR="00A27AE4" w:rsidRPr="00C03FC3" w:rsidRDefault="00A27AE4" w:rsidP="00E813E8">
            <w:r w:rsidRPr="00C03FC3">
              <w:t>do 30. června 2026</w:t>
            </w:r>
          </w:p>
        </w:tc>
      </w:tr>
      <w:tr w:rsidR="00A27AE4" w:rsidRPr="00C03FC3" w14:paraId="735BFA92" w14:textId="77777777" w:rsidTr="00056774">
        <w:tc>
          <w:tcPr>
            <w:tcW w:w="2689" w:type="dxa"/>
            <w:vAlign w:val="center"/>
          </w:tcPr>
          <w:p w14:paraId="4F31D624" w14:textId="3402FC22" w:rsidR="00A27AE4" w:rsidRPr="00C03FC3" w:rsidRDefault="00A27AE4" w:rsidP="00F02AC7">
            <w:r w:rsidRPr="00C03FC3">
              <w:t>Čerpadlová trubka 73,02x5,51 N80 EUE</w:t>
            </w:r>
          </w:p>
        </w:tc>
        <w:tc>
          <w:tcPr>
            <w:tcW w:w="2835" w:type="dxa"/>
            <w:vAlign w:val="center"/>
          </w:tcPr>
          <w:p w14:paraId="45F1060F" w14:textId="718F8562" w:rsidR="00A27AE4" w:rsidRPr="00C03FC3" w:rsidRDefault="00A27AE4" w:rsidP="007C3B69">
            <w:pPr>
              <w:autoSpaceDE w:val="0"/>
              <w:autoSpaceDN w:val="0"/>
              <w:adjustRightInd w:val="0"/>
            </w:pPr>
            <w:r w:rsidRPr="00C03FC3">
              <w:t>DK 021:2015: 44160000-9- Dálkové potrubí, potrubí, trubky, pažnicové trubky, tubinky a příslušenství</w:t>
            </w:r>
          </w:p>
        </w:tc>
        <w:tc>
          <w:tcPr>
            <w:tcW w:w="1417" w:type="dxa"/>
            <w:vAlign w:val="center"/>
          </w:tcPr>
          <w:p w14:paraId="4A824544" w14:textId="29FCE30F" w:rsidR="00A27AE4" w:rsidRPr="00C03FC3" w:rsidRDefault="00A27AE4" w:rsidP="00E813E8">
            <w:r w:rsidRPr="00C03FC3">
              <w:t xml:space="preserve">1170.4 t </w:t>
            </w:r>
          </w:p>
        </w:tc>
        <w:tc>
          <w:tcPr>
            <w:tcW w:w="2000" w:type="dxa"/>
            <w:vAlign w:val="center"/>
          </w:tcPr>
          <w:p w14:paraId="02A8170D" w14:textId="659F83FF" w:rsidR="00A27AE4" w:rsidRPr="00C03FC3" w:rsidRDefault="00A27AE4" w:rsidP="008E1B0B">
            <w:r w:rsidRPr="00C03FC3">
              <w:t>Ukrajina, podle dokumentace</w:t>
            </w:r>
          </w:p>
        </w:tc>
        <w:tc>
          <w:tcPr>
            <w:tcW w:w="1515" w:type="dxa"/>
            <w:vAlign w:val="center"/>
          </w:tcPr>
          <w:p w14:paraId="0588FCEE" w14:textId="3397CDC4" w:rsidR="00A27AE4" w:rsidRPr="00C03FC3" w:rsidRDefault="00A27AE4" w:rsidP="00E813E8">
            <w:r w:rsidRPr="00C03FC3">
              <w:t>do 30. června 2026</w:t>
            </w:r>
          </w:p>
        </w:tc>
      </w:tr>
      <w:tr w:rsidR="00A27AE4" w:rsidRPr="00C03FC3" w14:paraId="349C2908" w14:textId="77777777" w:rsidTr="00056774">
        <w:tc>
          <w:tcPr>
            <w:tcW w:w="2689" w:type="dxa"/>
            <w:vAlign w:val="center"/>
          </w:tcPr>
          <w:p w14:paraId="31487D7E" w14:textId="61BDA2E8" w:rsidR="00A27AE4" w:rsidRPr="00C03FC3" w:rsidRDefault="00A27AE4" w:rsidP="00F02AC7">
            <w:r w:rsidRPr="00C03FC3">
              <w:t>Čerpadlová trubka 73,02x5,51 P110 EUE</w:t>
            </w:r>
          </w:p>
        </w:tc>
        <w:tc>
          <w:tcPr>
            <w:tcW w:w="2835" w:type="dxa"/>
            <w:vAlign w:val="center"/>
          </w:tcPr>
          <w:p w14:paraId="4503243D" w14:textId="431F7BCB" w:rsidR="00A27AE4" w:rsidRPr="00C03FC3" w:rsidRDefault="00A27AE4" w:rsidP="007C3B69">
            <w:pPr>
              <w:autoSpaceDE w:val="0"/>
              <w:autoSpaceDN w:val="0"/>
              <w:adjustRightInd w:val="0"/>
            </w:pPr>
            <w:r w:rsidRPr="00C03FC3">
              <w:t>DK 021:2015: 44160000-9- Dálkové potrubí, potrubí, trubky, pažnicové trubky, tubinky a příslušenství</w:t>
            </w:r>
          </w:p>
        </w:tc>
        <w:tc>
          <w:tcPr>
            <w:tcW w:w="1417" w:type="dxa"/>
            <w:vAlign w:val="center"/>
          </w:tcPr>
          <w:p w14:paraId="24920D5B" w14:textId="29DCE899" w:rsidR="00A27AE4" w:rsidRPr="00C03FC3" w:rsidRDefault="00A27AE4" w:rsidP="00E813E8">
            <w:r w:rsidRPr="00C03FC3">
              <w:t xml:space="preserve">300 t </w:t>
            </w:r>
          </w:p>
        </w:tc>
        <w:tc>
          <w:tcPr>
            <w:tcW w:w="2000" w:type="dxa"/>
            <w:vAlign w:val="center"/>
          </w:tcPr>
          <w:p w14:paraId="121723B1" w14:textId="1AD404DC" w:rsidR="00A27AE4" w:rsidRPr="00C03FC3" w:rsidRDefault="00A27AE4" w:rsidP="008E1B0B">
            <w:r w:rsidRPr="00C03FC3">
              <w:t>Ukrajina, podle dokumentace</w:t>
            </w:r>
          </w:p>
        </w:tc>
        <w:tc>
          <w:tcPr>
            <w:tcW w:w="1515" w:type="dxa"/>
            <w:vAlign w:val="center"/>
          </w:tcPr>
          <w:p w14:paraId="1CC109A8" w14:textId="52CB2624" w:rsidR="00A27AE4" w:rsidRPr="00C03FC3" w:rsidRDefault="00A27AE4" w:rsidP="00E813E8">
            <w:r w:rsidRPr="00C03FC3">
              <w:t>do 30. června 2026</w:t>
            </w:r>
          </w:p>
        </w:tc>
      </w:tr>
      <w:tr w:rsidR="00A27AE4" w:rsidRPr="00C03FC3" w14:paraId="51B7F35C" w14:textId="77777777" w:rsidTr="00056774">
        <w:tc>
          <w:tcPr>
            <w:tcW w:w="2689" w:type="dxa"/>
            <w:vAlign w:val="center"/>
          </w:tcPr>
          <w:p w14:paraId="5AEB58F1" w14:textId="56831216" w:rsidR="00A27AE4" w:rsidRPr="00C03FC3" w:rsidRDefault="00A27AE4" w:rsidP="00F02AC7">
            <w:r w:rsidRPr="00C03FC3">
              <w:t>Čerpadlová trubka, 88,90x6,45 N80 EUE</w:t>
            </w:r>
          </w:p>
        </w:tc>
        <w:tc>
          <w:tcPr>
            <w:tcW w:w="2835" w:type="dxa"/>
            <w:vAlign w:val="center"/>
          </w:tcPr>
          <w:p w14:paraId="11BFF23D" w14:textId="7D59BC1E" w:rsidR="00A27AE4" w:rsidRPr="00C03FC3" w:rsidRDefault="00A27AE4" w:rsidP="007C3B69">
            <w:pPr>
              <w:autoSpaceDE w:val="0"/>
              <w:autoSpaceDN w:val="0"/>
              <w:adjustRightInd w:val="0"/>
            </w:pPr>
            <w:r w:rsidRPr="00C03FC3">
              <w:t>DK 021:2015: 44160000-9- Dálkové potrubí, potrubí, trubky, pažnicové trubky, tubinky a příslušenství</w:t>
            </w:r>
          </w:p>
        </w:tc>
        <w:tc>
          <w:tcPr>
            <w:tcW w:w="1417" w:type="dxa"/>
            <w:vAlign w:val="center"/>
          </w:tcPr>
          <w:p w14:paraId="0BBCDC17" w14:textId="7692BAD7" w:rsidR="00A27AE4" w:rsidRPr="00C03FC3" w:rsidRDefault="00A27AE4" w:rsidP="00E813E8">
            <w:r w:rsidRPr="00C03FC3">
              <w:t xml:space="preserve">408.2 t </w:t>
            </w:r>
          </w:p>
        </w:tc>
        <w:tc>
          <w:tcPr>
            <w:tcW w:w="2000" w:type="dxa"/>
            <w:vAlign w:val="center"/>
          </w:tcPr>
          <w:p w14:paraId="67540E3C" w14:textId="7616B254" w:rsidR="00A27AE4" w:rsidRPr="00C03FC3" w:rsidRDefault="00A27AE4" w:rsidP="008E1B0B">
            <w:r w:rsidRPr="00C03FC3">
              <w:t>Ukrajina, podle dokumentace</w:t>
            </w:r>
          </w:p>
        </w:tc>
        <w:tc>
          <w:tcPr>
            <w:tcW w:w="1515" w:type="dxa"/>
            <w:vAlign w:val="center"/>
          </w:tcPr>
          <w:p w14:paraId="1EB2F043" w14:textId="5FC433D4" w:rsidR="00A27AE4" w:rsidRPr="00C03FC3" w:rsidRDefault="00A27AE4" w:rsidP="00E813E8">
            <w:r w:rsidRPr="00C03FC3">
              <w:t>do 30. června 2026</w:t>
            </w:r>
          </w:p>
        </w:tc>
      </w:tr>
      <w:tr w:rsidR="00A27AE4" w:rsidRPr="00C03FC3" w14:paraId="7037A708" w14:textId="77777777" w:rsidTr="00056774">
        <w:tc>
          <w:tcPr>
            <w:tcW w:w="2689" w:type="dxa"/>
            <w:vAlign w:val="center"/>
          </w:tcPr>
          <w:p w14:paraId="45979D16" w14:textId="05053AD7" w:rsidR="00A27AE4" w:rsidRPr="00C03FC3" w:rsidRDefault="00A27AE4" w:rsidP="00F02AC7">
            <w:r w:rsidRPr="00C03FC3">
              <w:t>Čerpadlová trubka 88,90x6,45 N80 EUE</w:t>
            </w:r>
          </w:p>
        </w:tc>
        <w:tc>
          <w:tcPr>
            <w:tcW w:w="2835" w:type="dxa"/>
            <w:vAlign w:val="center"/>
          </w:tcPr>
          <w:p w14:paraId="64722ADC" w14:textId="34AEF005" w:rsidR="00A27AE4" w:rsidRPr="00C03FC3" w:rsidRDefault="00A27AE4" w:rsidP="007C3B69">
            <w:pPr>
              <w:autoSpaceDE w:val="0"/>
              <w:autoSpaceDN w:val="0"/>
              <w:adjustRightInd w:val="0"/>
            </w:pPr>
            <w:r w:rsidRPr="00C03FC3">
              <w:t>DK 021:2015: 44160000-9- Dálkové potrubí, potrubí, trubky, pažnicové trubky, tubinky a příslušenství</w:t>
            </w:r>
          </w:p>
        </w:tc>
        <w:tc>
          <w:tcPr>
            <w:tcW w:w="1417" w:type="dxa"/>
            <w:vAlign w:val="center"/>
          </w:tcPr>
          <w:p w14:paraId="0AE319E9" w14:textId="363AC636" w:rsidR="00A27AE4" w:rsidRPr="00C03FC3" w:rsidRDefault="00A27AE4" w:rsidP="00E813E8">
            <w:r w:rsidRPr="00C03FC3">
              <w:t xml:space="preserve">80 t </w:t>
            </w:r>
          </w:p>
        </w:tc>
        <w:tc>
          <w:tcPr>
            <w:tcW w:w="2000" w:type="dxa"/>
            <w:vAlign w:val="center"/>
          </w:tcPr>
          <w:p w14:paraId="4565A6E8" w14:textId="07D2C9A8" w:rsidR="00A27AE4" w:rsidRPr="00C03FC3" w:rsidRDefault="00A27AE4" w:rsidP="008E1B0B">
            <w:r w:rsidRPr="00C03FC3">
              <w:t>Ukrajina, podle dokumentace</w:t>
            </w:r>
          </w:p>
        </w:tc>
        <w:tc>
          <w:tcPr>
            <w:tcW w:w="1515" w:type="dxa"/>
            <w:vAlign w:val="center"/>
          </w:tcPr>
          <w:p w14:paraId="67C0F303" w14:textId="3C8EE2CF" w:rsidR="00A27AE4" w:rsidRPr="00C03FC3" w:rsidRDefault="00A27AE4" w:rsidP="00E813E8">
            <w:r w:rsidRPr="00C03FC3">
              <w:t>do 30. června 2026</w:t>
            </w:r>
          </w:p>
        </w:tc>
      </w:tr>
    </w:tbl>
    <w:p w14:paraId="7ED203FF" w14:textId="77777777" w:rsidR="008E1B0B" w:rsidRPr="00C03FC3" w:rsidRDefault="008E1B0B" w:rsidP="00E813E8"/>
    <w:p w14:paraId="423D9E05" w14:textId="77777777" w:rsidR="00B828FD" w:rsidRPr="00C03FC3" w:rsidRDefault="00B828FD" w:rsidP="00E813E8">
      <w:r w:rsidRPr="00C03FC3">
        <w:t>Podmínky platby</w:t>
      </w:r>
    </w:p>
    <w:tbl>
      <w:tblPr>
        <w:tblStyle w:val="Mkatabulky"/>
        <w:tblW w:w="0" w:type="auto"/>
        <w:tblLook w:val="04A0" w:firstRow="1" w:lastRow="0" w:firstColumn="1" w:lastColumn="0" w:noHBand="0" w:noVBand="1"/>
      </w:tblPr>
      <w:tblGrid>
        <w:gridCol w:w="1410"/>
        <w:gridCol w:w="3547"/>
        <w:gridCol w:w="1275"/>
        <w:gridCol w:w="1418"/>
        <w:gridCol w:w="1283"/>
        <w:gridCol w:w="1530"/>
      </w:tblGrid>
      <w:tr w:rsidR="00B828FD" w:rsidRPr="00C03FC3" w14:paraId="0BE02F04" w14:textId="77777777" w:rsidTr="00A27AE4">
        <w:tc>
          <w:tcPr>
            <w:tcW w:w="1410" w:type="dxa"/>
          </w:tcPr>
          <w:p w14:paraId="5837E628" w14:textId="77777777" w:rsidR="00B828FD" w:rsidRPr="00C03FC3" w:rsidRDefault="00B828FD" w:rsidP="00E813E8">
            <w:r w:rsidRPr="00C03FC3">
              <w:t>Událost</w:t>
            </w:r>
          </w:p>
        </w:tc>
        <w:tc>
          <w:tcPr>
            <w:tcW w:w="3547" w:type="dxa"/>
          </w:tcPr>
          <w:p w14:paraId="73856A7D" w14:textId="77777777" w:rsidR="00B828FD" w:rsidRPr="00C03FC3" w:rsidRDefault="00B828FD" w:rsidP="00E813E8">
            <w:r w:rsidRPr="00C03FC3">
              <w:t>Popis</w:t>
            </w:r>
          </w:p>
        </w:tc>
        <w:tc>
          <w:tcPr>
            <w:tcW w:w="1275" w:type="dxa"/>
          </w:tcPr>
          <w:p w14:paraId="60533512" w14:textId="77777777" w:rsidR="00B828FD" w:rsidRPr="00C03FC3" w:rsidRDefault="00B828FD" w:rsidP="00E813E8">
            <w:r w:rsidRPr="00C03FC3">
              <w:t>Typ platby</w:t>
            </w:r>
          </w:p>
        </w:tc>
        <w:tc>
          <w:tcPr>
            <w:tcW w:w="1418" w:type="dxa"/>
          </w:tcPr>
          <w:p w14:paraId="7327D086" w14:textId="77777777" w:rsidR="00B828FD" w:rsidRPr="00C03FC3" w:rsidRDefault="00B828FD" w:rsidP="00E813E8">
            <w:r w:rsidRPr="00C03FC3">
              <w:t>Termín (dny)</w:t>
            </w:r>
          </w:p>
        </w:tc>
        <w:tc>
          <w:tcPr>
            <w:tcW w:w="1283" w:type="dxa"/>
          </w:tcPr>
          <w:p w14:paraId="59778E7A" w14:textId="77777777" w:rsidR="00B828FD" w:rsidRPr="00C03FC3" w:rsidRDefault="00B828FD" w:rsidP="00E813E8">
            <w:r w:rsidRPr="00C03FC3">
              <w:t>Typ dnů</w:t>
            </w:r>
          </w:p>
        </w:tc>
        <w:tc>
          <w:tcPr>
            <w:tcW w:w="1530" w:type="dxa"/>
          </w:tcPr>
          <w:p w14:paraId="5AA1CA71" w14:textId="77777777" w:rsidR="00B828FD" w:rsidRPr="00C03FC3" w:rsidRDefault="00B828FD" w:rsidP="00E813E8">
            <w:r w:rsidRPr="00C03FC3">
              <w:t>Výše platby</w:t>
            </w:r>
            <w:r w:rsidR="00CC27BA" w:rsidRPr="00C03FC3">
              <w:t>, %</w:t>
            </w:r>
          </w:p>
        </w:tc>
      </w:tr>
      <w:tr w:rsidR="00A27AE4" w:rsidRPr="00C03FC3" w14:paraId="580C6E81" w14:textId="77777777" w:rsidTr="00A27AE4">
        <w:tc>
          <w:tcPr>
            <w:tcW w:w="1410" w:type="dxa"/>
            <w:vAlign w:val="center"/>
          </w:tcPr>
          <w:p w14:paraId="5897BEA6" w14:textId="43B5E460" w:rsidR="00A27AE4" w:rsidRPr="00C03FC3" w:rsidRDefault="00A27AE4" w:rsidP="00B43A39">
            <w:r w:rsidRPr="00C03FC3">
              <w:t>Dodání zboží</w:t>
            </w:r>
          </w:p>
        </w:tc>
        <w:tc>
          <w:tcPr>
            <w:tcW w:w="3547" w:type="dxa"/>
            <w:vAlign w:val="center"/>
          </w:tcPr>
          <w:p w14:paraId="5079CB28" w14:textId="0B786C6B" w:rsidR="00A27AE4" w:rsidRPr="00C03FC3" w:rsidRDefault="00A27AE4" w:rsidP="008E1B0B">
            <w:r w:rsidRPr="00C03FC3">
              <w:t xml:space="preserve">Platba za Zboží (šarži Zboží) se provádí po procesu převzetí podle množství a kvality (po odstranění </w:t>
            </w:r>
            <w:r w:rsidRPr="00C03FC3">
              <w:lastRenderedPageBreak/>
              <w:t>všech připomínek) do 30 (třiceti) kalendářních dnů ode dne podpisu příslušného nákladového listu (pokud je Dodavatel Zboží rezidentem Ukrajiny) nebo předávacího protokolu (pokud je Dodavatel Zboží nerezidentem Ukrajiny) oprávněnými zástupci Stran.</w:t>
            </w:r>
          </w:p>
        </w:tc>
        <w:tc>
          <w:tcPr>
            <w:tcW w:w="1275" w:type="dxa"/>
            <w:vAlign w:val="center"/>
          </w:tcPr>
          <w:p w14:paraId="6B73AA1A" w14:textId="25E3FD25" w:rsidR="00A27AE4" w:rsidRPr="00C03FC3" w:rsidRDefault="00A27AE4" w:rsidP="008E1B0B">
            <w:r w:rsidRPr="00C03FC3">
              <w:lastRenderedPageBreak/>
              <w:t xml:space="preserve">Platba po dodání </w:t>
            </w:r>
          </w:p>
        </w:tc>
        <w:tc>
          <w:tcPr>
            <w:tcW w:w="1418" w:type="dxa"/>
            <w:vAlign w:val="center"/>
          </w:tcPr>
          <w:p w14:paraId="4F5188DA" w14:textId="367337BA" w:rsidR="00A27AE4" w:rsidRPr="00C03FC3" w:rsidRDefault="00A27AE4" w:rsidP="00B43A39">
            <w:r w:rsidRPr="00C03FC3">
              <w:t xml:space="preserve">30 </w:t>
            </w:r>
          </w:p>
        </w:tc>
        <w:tc>
          <w:tcPr>
            <w:tcW w:w="1283" w:type="dxa"/>
            <w:vAlign w:val="center"/>
          </w:tcPr>
          <w:p w14:paraId="05FBF222" w14:textId="7D2DB8C0" w:rsidR="00A27AE4" w:rsidRPr="00C03FC3" w:rsidRDefault="00A27AE4" w:rsidP="00B43A39">
            <w:r w:rsidRPr="00C03FC3">
              <w:t>Kalendářní</w:t>
            </w:r>
          </w:p>
        </w:tc>
        <w:tc>
          <w:tcPr>
            <w:tcW w:w="1530" w:type="dxa"/>
            <w:vAlign w:val="center"/>
          </w:tcPr>
          <w:p w14:paraId="2D84BB26" w14:textId="0033B5FA" w:rsidR="00A27AE4" w:rsidRPr="00C03FC3" w:rsidRDefault="00A27AE4" w:rsidP="00B43A39">
            <w:r w:rsidRPr="00C03FC3">
              <w:t>100</w:t>
            </w:r>
          </w:p>
        </w:tc>
      </w:tr>
      <w:tr w:rsidR="00A27AE4" w:rsidRPr="00C03FC3" w14:paraId="737B08A8" w14:textId="77777777" w:rsidTr="00A27AE4">
        <w:tc>
          <w:tcPr>
            <w:tcW w:w="1410" w:type="dxa"/>
            <w:vAlign w:val="center"/>
          </w:tcPr>
          <w:p w14:paraId="32785763" w14:textId="7770935C" w:rsidR="00A27AE4" w:rsidRPr="00C03FC3" w:rsidRDefault="00A27AE4" w:rsidP="00B43A39">
            <w:r w:rsidRPr="00C03FC3">
              <w:t>Podpis smlouvy</w:t>
            </w:r>
          </w:p>
        </w:tc>
        <w:tc>
          <w:tcPr>
            <w:tcW w:w="3547" w:type="dxa"/>
            <w:vAlign w:val="center"/>
          </w:tcPr>
          <w:p w14:paraId="4DBD4DE0" w14:textId="7C8C73DE" w:rsidR="00A27AE4" w:rsidRPr="00C03FC3" w:rsidRDefault="00A27AE4" w:rsidP="008E1B0B">
            <w:r w:rsidRPr="00C03FC3">
              <w:t>Dodací podmínky (včetně podmínek stanovených v souladu s Mezinárodními pravidly pro výklad obchodních podmínek „INCOTERMS-2020“): pro rezidenty: DDP – sklad/stanice příjemce; pro nerezidenty: DAP – sklad/stanice příjemce. Doba dodání zboží: Dodací lhůta: do 165 kalendářních dnů od data uzavření Smlouvy.</w:t>
            </w:r>
          </w:p>
        </w:tc>
        <w:tc>
          <w:tcPr>
            <w:tcW w:w="1275" w:type="dxa"/>
            <w:vAlign w:val="center"/>
          </w:tcPr>
          <w:p w14:paraId="72616D34" w14:textId="228C0D26" w:rsidR="00A27AE4" w:rsidRPr="00C03FC3" w:rsidRDefault="00A27AE4" w:rsidP="008E1B0B">
            <w:r w:rsidRPr="00C03FC3">
              <w:t xml:space="preserve">165 </w:t>
            </w:r>
          </w:p>
        </w:tc>
        <w:tc>
          <w:tcPr>
            <w:tcW w:w="1418" w:type="dxa"/>
            <w:vAlign w:val="center"/>
          </w:tcPr>
          <w:p w14:paraId="1EA75423" w14:textId="6450A1F5" w:rsidR="00A27AE4" w:rsidRPr="00C03FC3" w:rsidRDefault="00A27AE4" w:rsidP="00B43A39">
            <w:r w:rsidRPr="00C03FC3">
              <w:t>Kalendářní</w:t>
            </w:r>
          </w:p>
        </w:tc>
        <w:tc>
          <w:tcPr>
            <w:tcW w:w="1283" w:type="dxa"/>
            <w:vAlign w:val="center"/>
          </w:tcPr>
          <w:p w14:paraId="14537A17" w14:textId="4149A2AD" w:rsidR="00A27AE4" w:rsidRPr="00C03FC3" w:rsidRDefault="00A27AE4" w:rsidP="00B43A39">
            <w:r w:rsidRPr="00C03FC3">
              <w:t>100</w:t>
            </w:r>
          </w:p>
        </w:tc>
        <w:tc>
          <w:tcPr>
            <w:tcW w:w="1530" w:type="dxa"/>
            <w:vAlign w:val="center"/>
          </w:tcPr>
          <w:p w14:paraId="617F80BF" w14:textId="34D7EAF5" w:rsidR="00A27AE4" w:rsidRPr="00C03FC3" w:rsidRDefault="00A27AE4" w:rsidP="00B43A39">
            <w:r w:rsidRPr="00C03FC3">
              <w:t>Podpis smlouvy</w:t>
            </w:r>
          </w:p>
        </w:tc>
      </w:tr>
    </w:tbl>
    <w:p w14:paraId="52081D1A" w14:textId="77777777" w:rsidR="00EB4F9D" w:rsidRPr="00C03FC3" w:rsidRDefault="00EB4F9D" w:rsidP="00E813E8"/>
    <w:p w14:paraId="1C5142E4" w14:textId="428BDE8F" w:rsidR="00EB4F9D" w:rsidRPr="00C03FC3" w:rsidRDefault="00EB4F9D" w:rsidP="00F778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75"/>
        </w:tabs>
      </w:pPr>
      <w:bookmarkStart w:id="1" w:name="_Hlk132825464"/>
      <w:r w:rsidRPr="00C03FC3">
        <w:t>Očekávaná hodnota položky nákupu:</w:t>
      </w:r>
      <w:r w:rsidRPr="00C03FC3">
        <w:tab/>
      </w:r>
      <w:r w:rsidR="00536768" w:rsidRPr="00C03FC3">
        <w:tab/>
      </w:r>
      <w:r w:rsidR="00536768" w:rsidRPr="00C03FC3">
        <w:tab/>
      </w:r>
      <w:r w:rsidR="00A27AE4" w:rsidRPr="00C03FC3">
        <w:t>241 220 630 UAH (cca 4 952,1 tis. EUR)</w:t>
      </w:r>
    </w:p>
    <w:p w14:paraId="747FF380" w14:textId="7778ECA7" w:rsidR="00EB4F9D" w:rsidRPr="00C03FC3" w:rsidRDefault="00EB4F9D" w:rsidP="00EB4F9D">
      <w:r w:rsidRPr="00C03FC3">
        <w:t>Minimální velikost kroku snížení ceny:</w:t>
      </w:r>
      <w:r w:rsidRPr="00C03FC3">
        <w:tab/>
      </w:r>
      <w:r w:rsidR="00536768" w:rsidRPr="00C03FC3">
        <w:tab/>
      </w:r>
      <w:r w:rsidR="00536768" w:rsidRPr="00C03FC3">
        <w:tab/>
      </w:r>
      <w:r w:rsidR="00A27AE4" w:rsidRPr="00C03FC3">
        <w:t>2 412 206,3 UAH (cca 49,5 tis. EUR)</w:t>
      </w:r>
    </w:p>
    <w:p w14:paraId="6BAD6B0F" w14:textId="77777777" w:rsidR="00EB4F9D" w:rsidRPr="00C03FC3" w:rsidRDefault="00EB4F9D" w:rsidP="00536768">
      <w:pPr>
        <w:spacing w:after="0"/>
      </w:pPr>
      <w:r w:rsidRPr="00C03FC3">
        <w:t>Matematický vzorec pro</w:t>
      </w:r>
    </w:p>
    <w:p w14:paraId="76F11E80" w14:textId="75D9784F" w:rsidR="00EB4F9D" w:rsidRPr="00C03FC3" w:rsidRDefault="00EB4F9D" w:rsidP="00EB4F9D">
      <w:r w:rsidRPr="00C03FC3">
        <w:t>výpočet uvedené ceny (pokud se bude používat)</w:t>
      </w:r>
      <w:r w:rsidR="00B90875" w:rsidRPr="00C03FC3">
        <w:t>:</w:t>
      </w:r>
      <w:r w:rsidRPr="00C03FC3">
        <w:tab/>
        <w:t>není uvedeno</w:t>
      </w:r>
    </w:p>
    <w:p w14:paraId="1B2BFEAD" w14:textId="5154791C" w:rsidR="00EB4F9D" w:rsidRPr="00C03FC3" w:rsidRDefault="00EB4F9D" w:rsidP="00EB4F9D">
      <w:r w:rsidRPr="00C03FC3">
        <w:t>Lhůta pro podání nabídek</w:t>
      </w:r>
      <w:r w:rsidR="00B90875" w:rsidRPr="00C03FC3">
        <w:t>:</w:t>
      </w:r>
      <w:r w:rsidRPr="00C03FC3">
        <w:t xml:space="preserve"> </w:t>
      </w:r>
      <w:r w:rsidRPr="00C03FC3">
        <w:tab/>
      </w:r>
      <w:r w:rsidRPr="00C03FC3">
        <w:tab/>
      </w:r>
      <w:r w:rsidRPr="00C03FC3">
        <w:tab/>
      </w:r>
      <w:r w:rsidRPr="00C03FC3">
        <w:tab/>
      </w:r>
      <w:r w:rsidR="00A27AE4" w:rsidRPr="00C03FC3">
        <w:t>3. října 2025 12:00</w:t>
      </w:r>
    </w:p>
    <w:p w14:paraId="01D5F52A" w14:textId="119C4997" w:rsidR="00EB4F9D" w:rsidRPr="00C03FC3" w:rsidRDefault="00EB4F9D" w:rsidP="00EB4F9D">
      <w:r w:rsidRPr="00C03FC3">
        <w:t xml:space="preserve">Jazyk nabídky: </w:t>
      </w:r>
      <w:r w:rsidR="007178AE" w:rsidRPr="00C03FC3">
        <w:tab/>
      </w:r>
      <w:r w:rsidR="007178AE" w:rsidRPr="00C03FC3">
        <w:tab/>
      </w:r>
      <w:r w:rsidR="007178AE" w:rsidRPr="00C03FC3">
        <w:tab/>
      </w:r>
      <w:r w:rsidR="007178AE" w:rsidRPr="00C03FC3">
        <w:tab/>
      </w:r>
      <w:r w:rsidR="007178AE" w:rsidRPr="00C03FC3">
        <w:tab/>
      </w:r>
      <w:r w:rsidR="007178AE" w:rsidRPr="00C03FC3">
        <w:tab/>
      </w:r>
      <w:r w:rsidRPr="00C03FC3">
        <w:t>ukrajinština</w:t>
      </w:r>
    </w:p>
    <w:p w14:paraId="082AF639" w14:textId="77777777" w:rsidR="00EB4F9D" w:rsidRPr="00C03FC3" w:rsidRDefault="00EB4F9D" w:rsidP="00536768">
      <w:pPr>
        <w:spacing w:after="0"/>
      </w:pPr>
      <w:r w:rsidRPr="00C03FC3">
        <w:t>Výše zabezpečení nabídky (pokud zákazník požaduje</w:t>
      </w:r>
    </w:p>
    <w:p w14:paraId="73349165" w14:textId="0D57CEEB" w:rsidR="00EB4F9D" w:rsidRPr="00C03FC3" w:rsidRDefault="00536768" w:rsidP="00EB4F9D">
      <w:r w:rsidRPr="00C03FC3">
        <w:t xml:space="preserve">její </w:t>
      </w:r>
      <w:r w:rsidR="00EB4F9D" w:rsidRPr="00C03FC3">
        <w:t>zabezpečení):</w:t>
      </w:r>
      <w:r w:rsidR="00EB4F9D" w:rsidRPr="00C03FC3">
        <w:tab/>
      </w:r>
      <w:r w:rsidR="00EB4F9D" w:rsidRPr="00C03FC3">
        <w:tab/>
      </w:r>
      <w:r w:rsidR="00EB4F9D" w:rsidRPr="00C03FC3">
        <w:tab/>
      </w:r>
      <w:r w:rsidR="00EB4F9D" w:rsidRPr="00C03FC3">
        <w:tab/>
      </w:r>
      <w:r w:rsidR="00EB4F9D" w:rsidRPr="00C03FC3">
        <w:tab/>
      </w:r>
      <w:r w:rsidR="00A27AE4" w:rsidRPr="00C03FC3">
        <w:rPr>
          <w:rFonts w:ascii="TimesNewRomanPSMT" w:eastAsia="Times New Roman" w:hAnsi="TimesNewRomanPSMT" w:cs="Times New Roman"/>
          <w:color w:val="000000"/>
          <w:lang w:eastAsia="uk-UA"/>
        </w:rPr>
        <w:t>7 236 600 UAH (cca 148,6 tis. EUR)</w:t>
      </w:r>
    </w:p>
    <w:p w14:paraId="42BAB25D" w14:textId="77777777" w:rsidR="00EB4F9D" w:rsidRPr="00C03FC3" w:rsidRDefault="00EB4F9D" w:rsidP="00536768">
      <w:pPr>
        <w:spacing w:after="0"/>
      </w:pPr>
      <w:r w:rsidRPr="00C03FC3">
        <w:t>Druh zabezpečení nabídky (pokud zákazník požaduje</w:t>
      </w:r>
    </w:p>
    <w:p w14:paraId="0F596CE2" w14:textId="402267BC" w:rsidR="00EB4F9D" w:rsidRPr="00C03FC3" w:rsidRDefault="00EB4F9D" w:rsidP="00536768">
      <w:r w:rsidRPr="00C03FC3">
        <w:t>její zabezpečení)</w:t>
      </w:r>
      <w:r w:rsidR="00B90875" w:rsidRPr="00C03FC3">
        <w:t>:</w:t>
      </w:r>
      <w:r w:rsidRPr="00C03FC3">
        <w:tab/>
      </w:r>
      <w:r w:rsidRPr="00C03FC3">
        <w:tab/>
      </w:r>
      <w:r w:rsidRPr="00C03FC3">
        <w:tab/>
      </w:r>
      <w:r w:rsidRPr="00C03FC3">
        <w:tab/>
      </w:r>
      <w:r w:rsidRPr="00C03FC3">
        <w:tab/>
      </w:r>
      <w:r w:rsidR="00D730CA" w:rsidRPr="00C03FC3">
        <w:t xml:space="preserve">elektronická </w:t>
      </w:r>
      <w:r w:rsidR="00F13C42" w:rsidRPr="00C03FC3">
        <w:t>záruka</w:t>
      </w:r>
    </w:p>
    <w:p w14:paraId="74B2DE6F" w14:textId="0C352691" w:rsidR="00EB4F9D" w:rsidRPr="00C03FC3" w:rsidRDefault="00EB4F9D" w:rsidP="00EB4F9D">
      <w:r w:rsidRPr="00C03FC3">
        <w:t>Datum a čas otevření nabíd</w:t>
      </w:r>
      <w:r w:rsidR="005C2D46" w:rsidRPr="00C03FC3">
        <w:t>ek</w:t>
      </w:r>
      <w:r w:rsidR="00B90875" w:rsidRPr="00C03FC3">
        <w:t>:</w:t>
      </w:r>
      <w:r w:rsidR="005C2D46" w:rsidRPr="00C03FC3">
        <w:t xml:space="preserve"> </w:t>
      </w:r>
      <w:r w:rsidR="005C2D46" w:rsidRPr="00C03FC3">
        <w:tab/>
      </w:r>
      <w:r w:rsidR="005C2D46" w:rsidRPr="00C03FC3">
        <w:tab/>
      </w:r>
      <w:r w:rsidR="005C2D46" w:rsidRPr="00C03FC3">
        <w:tab/>
      </w:r>
      <w:r w:rsidR="005C2D46" w:rsidRPr="00C03FC3">
        <w:tab/>
      </w:r>
      <w:bookmarkEnd w:id="1"/>
      <w:r w:rsidR="00A27AE4" w:rsidRPr="00C03FC3">
        <w:t>6. října 2025 15:31</w:t>
      </w:r>
    </w:p>
    <w:p w14:paraId="0D0C3B58" w14:textId="752804BA" w:rsidR="00D644B1" w:rsidRPr="00C03FC3" w:rsidRDefault="00D644B1" w:rsidP="00EB4F9D">
      <w:r w:rsidRPr="00C03FC3">
        <w:t>Datum a čas elektronické aukce</w:t>
      </w:r>
      <w:r w:rsidRPr="00C03FC3">
        <w:tab/>
      </w:r>
      <w:r w:rsidR="00B90875" w:rsidRPr="00C03FC3">
        <w:t>:</w:t>
      </w:r>
      <w:r w:rsidRPr="00C03FC3">
        <w:tab/>
      </w:r>
      <w:r w:rsidRPr="00C03FC3">
        <w:tab/>
      </w:r>
      <w:r w:rsidRPr="00C03FC3">
        <w:tab/>
      </w:r>
      <w:r w:rsidR="00E8443C" w:rsidRPr="00C03FC3">
        <w:t>není uvedeno</w:t>
      </w:r>
    </w:p>
    <w:p w14:paraId="3B0CC4C7" w14:textId="659698AA" w:rsidR="00882B6C" w:rsidRPr="00C03FC3" w:rsidRDefault="00882B6C" w:rsidP="00EB4F9D">
      <w:bookmarkStart w:id="2" w:name="_GoBack"/>
      <w:bookmarkEnd w:id="2"/>
    </w:p>
    <w:sectPr w:rsidR="00882B6C" w:rsidRPr="00C03FC3" w:rsidSect="00E81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3E8"/>
    <w:rsid w:val="000031DE"/>
    <w:rsid w:val="00015459"/>
    <w:rsid w:val="00021008"/>
    <w:rsid w:val="00022199"/>
    <w:rsid w:val="00030CC9"/>
    <w:rsid w:val="00055FAB"/>
    <w:rsid w:val="00080300"/>
    <w:rsid w:val="0008718B"/>
    <w:rsid w:val="00087DF0"/>
    <w:rsid w:val="000C229E"/>
    <w:rsid w:val="000F0DCD"/>
    <w:rsid w:val="000F2FFE"/>
    <w:rsid w:val="000F438D"/>
    <w:rsid w:val="001102E9"/>
    <w:rsid w:val="00113855"/>
    <w:rsid w:val="00117942"/>
    <w:rsid w:val="00132641"/>
    <w:rsid w:val="00151CDC"/>
    <w:rsid w:val="001866E8"/>
    <w:rsid w:val="001A76CE"/>
    <w:rsid w:val="001B15F9"/>
    <w:rsid w:val="001D2471"/>
    <w:rsid w:val="001E5F9A"/>
    <w:rsid w:val="0021153F"/>
    <w:rsid w:val="00214B53"/>
    <w:rsid w:val="0022607D"/>
    <w:rsid w:val="002A3D60"/>
    <w:rsid w:val="002A60E7"/>
    <w:rsid w:val="002E11DB"/>
    <w:rsid w:val="002E5499"/>
    <w:rsid w:val="0030130E"/>
    <w:rsid w:val="003019E4"/>
    <w:rsid w:val="00327077"/>
    <w:rsid w:val="00343459"/>
    <w:rsid w:val="00347DB6"/>
    <w:rsid w:val="00366AF0"/>
    <w:rsid w:val="0037489B"/>
    <w:rsid w:val="003758C2"/>
    <w:rsid w:val="00390296"/>
    <w:rsid w:val="00392F1B"/>
    <w:rsid w:val="003A0624"/>
    <w:rsid w:val="003A7CC5"/>
    <w:rsid w:val="003B0DD8"/>
    <w:rsid w:val="003C00AF"/>
    <w:rsid w:val="003C3C81"/>
    <w:rsid w:val="003C532D"/>
    <w:rsid w:val="0040065E"/>
    <w:rsid w:val="004150BA"/>
    <w:rsid w:val="00415B4C"/>
    <w:rsid w:val="00452D0B"/>
    <w:rsid w:val="004938C6"/>
    <w:rsid w:val="00494C9A"/>
    <w:rsid w:val="004B0441"/>
    <w:rsid w:val="004B7A9A"/>
    <w:rsid w:val="004C4E51"/>
    <w:rsid w:val="004D114B"/>
    <w:rsid w:val="004D4EFC"/>
    <w:rsid w:val="00514A53"/>
    <w:rsid w:val="00536768"/>
    <w:rsid w:val="00546039"/>
    <w:rsid w:val="00551E28"/>
    <w:rsid w:val="00570D82"/>
    <w:rsid w:val="005C119A"/>
    <w:rsid w:val="005C2D46"/>
    <w:rsid w:val="005C3470"/>
    <w:rsid w:val="006319EF"/>
    <w:rsid w:val="00634D2E"/>
    <w:rsid w:val="00647F3F"/>
    <w:rsid w:val="00672173"/>
    <w:rsid w:val="006727DC"/>
    <w:rsid w:val="006807CC"/>
    <w:rsid w:val="006838E6"/>
    <w:rsid w:val="0069073E"/>
    <w:rsid w:val="00691D04"/>
    <w:rsid w:val="006B05D5"/>
    <w:rsid w:val="006B5783"/>
    <w:rsid w:val="006D077F"/>
    <w:rsid w:val="006D4B24"/>
    <w:rsid w:val="006E2625"/>
    <w:rsid w:val="006F62F8"/>
    <w:rsid w:val="00702CE0"/>
    <w:rsid w:val="00704A8C"/>
    <w:rsid w:val="0070544D"/>
    <w:rsid w:val="00707F74"/>
    <w:rsid w:val="007178AE"/>
    <w:rsid w:val="00750037"/>
    <w:rsid w:val="007876BC"/>
    <w:rsid w:val="007A04B9"/>
    <w:rsid w:val="007B6C9F"/>
    <w:rsid w:val="007B7645"/>
    <w:rsid w:val="007C3B69"/>
    <w:rsid w:val="007E1F20"/>
    <w:rsid w:val="007E4D1A"/>
    <w:rsid w:val="007E5A01"/>
    <w:rsid w:val="00803294"/>
    <w:rsid w:val="00814E3E"/>
    <w:rsid w:val="0087216E"/>
    <w:rsid w:val="00872F4A"/>
    <w:rsid w:val="00882B6C"/>
    <w:rsid w:val="00887C65"/>
    <w:rsid w:val="008C1C34"/>
    <w:rsid w:val="008C7AEC"/>
    <w:rsid w:val="008D79BA"/>
    <w:rsid w:val="008E1B0B"/>
    <w:rsid w:val="008F1F1E"/>
    <w:rsid w:val="00901AE7"/>
    <w:rsid w:val="00903910"/>
    <w:rsid w:val="00911646"/>
    <w:rsid w:val="00920B0D"/>
    <w:rsid w:val="00961C5D"/>
    <w:rsid w:val="00993367"/>
    <w:rsid w:val="009A738D"/>
    <w:rsid w:val="00A00539"/>
    <w:rsid w:val="00A06B8B"/>
    <w:rsid w:val="00A0784C"/>
    <w:rsid w:val="00A21F27"/>
    <w:rsid w:val="00A23053"/>
    <w:rsid w:val="00A27AE4"/>
    <w:rsid w:val="00A779D8"/>
    <w:rsid w:val="00A8149F"/>
    <w:rsid w:val="00A8583C"/>
    <w:rsid w:val="00AC328F"/>
    <w:rsid w:val="00AC54A3"/>
    <w:rsid w:val="00AF2087"/>
    <w:rsid w:val="00AF68CE"/>
    <w:rsid w:val="00B003FF"/>
    <w:rsid w:val="00B14229"/>
    <w:rsid w:val="00B16DB2"/>
    <w:rsid w:val="00B43A39"/>
    <w:rsid w:val="00B74316"/>
    <w:rsid w:val="00B828FD"/>
    <w:rsid w:val="00B90875"/>
    <w:rsid w:val="00B94114"/>
    <w:rsid w:val="00BA586A"/>
    <w:rsid w:val="00BC4596"/>
    <w:rsid w:val="00BD00F5"/>
    <w:rsid w:val="00C03FC3"/>
    <w:rsid w:val="00C07C98"/>
    <w:rsid w:val="00C1259D"/>
    <w:rsid w:val="00C61C91"/>
    <w:rsid w:val="00C8170C"/>
    <w:rsid w:val="00C90F6D"/>
    <w:rsid w:val="00CB64D0"/>
    <w:rsid w:val="00CC27BA"/>
    <w:rsid w:val="00CC6C4C"/>
    <w:rsid w:val="00CD224A"/>
    <w:rsid w:val="00CF6CBC"/>
    <w:rsid w:val="00D202D8"/>
    <w:rsid w:val="00D42ED2"/>
    <w:rsid w:val="00D51800"/>
    <w:rsid w:val="00D56F7D"/>
    <w:rsid w:val="00D644B1"/>
    <w:rsid w:val="00D659ED"/>
    <w:rsid w:val="00D67E39"/>
    <w:rsid w:val="00D730CA"/>
    <w:rsid w:val="00D76EC1"/>
    <w:rsid w:val="00D801ED"/>
    <w:rsid w:val="00D81E62"/>
    <w:rsid w:val="00DA5F68"/>
    <w:rsid w:val="00DB10C9"/>
    <w:rsid w:val="00DB3A8F"/>
    <w:rsid w:val="00DD0A5D"/>
    <w:rsid w:val="00DE2128"/>
    <w:rsid w:val="00DF6CC8"/>
    <w:rsid w:val="00E06F23"/>
    <w:rsid w:val="00E3010B"/>
    <w:rsid w:val="00E36F9D"/>
    <w:rsid w:val="00E45BF7"/>
    <w:rsid w:val="00E52C03"/>
    <w:rsid w:val="00E662C0"/>
    <w:rsid w:val="00E674C4"/>
    <w:rsid w:val="00E813E8"/>
    <w:rsid w:val="00E8443C"/>
    <w:rsid w:val="00EA38CE"/>
    <w:rsid w:val="00EB054F"/>
    <w:rsid w:val="00EB4479"/>
    <w:rsid w:val="00EB4F9D"/>
    <w:rsid w:val="00F00689"/>
    <w:rsid w:val="00F02AC7"/>
    <w:rsid w:val="00F043B1"/>
    <w:rsid w:val="00F07236"/>
    <w:rsid w:val="00F13C42"/>
    <w:rsid w:val="00F150B6"/>
    <w:rsid w:val="00F157B9"/>
    <w:rsid w:val="00F2692B"/>
    <w:rsid w:val="00F33088"/>
    <w:rsid w:val="00F53504"/>
    <w:rsid w:val="00F54392"/>
    <w:rsid w:val="00F54E35"/>
    <w:rsid w:val="00F57EE9"/>
    <w:rsid w:val="00F60E8D"/>
    <w:rsid w:val="00F72B3D"/>
    <w:rsid w:val="00F778DB"/>
    <w:rsid w:val="00F8127F"/>
    <w:rsid w:val="00F86388"/>
    <w:rsid w:val="00FB4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6470"/>
  <w15:docId w15:val="{D3B6194B-440C-4865-A4D7-93DA5D1D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B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F2087"/>
    <w:rPr>
      <w:color w:val="0563C1" w:themeColor="hyperlink"/>
      <w:u w:val="single"/>
    </w:rPr>
  </w:style>
  <w:style w:type="character" w:customStyle="1" w:styleId="Nevyeenzmnka1">
    <w:name w:val="Nevyřešená zmínka1"/>
    <w:basedOn w:val="Standardnpsmoodstavce"/>
    <w:uiPriority w:val="99"/>
    <w:semiHidden/>
    <w:unhideWhenUsed/>
    <w:rsid w:val="00AF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2961</Characters>
  <Application>Microsoft Office Word</Application>
  <DocSecurity>0</DocSecurity>
  <Lines>24</Lines>
  <Paragraphs>6</Paragraphs>
  <ScaleCrop>false</ScaleCrop>
  <HeadingPairs>
    <vt:vector size="4" baseType="variant">
      <vt:variant>
        <vt:lpstr>Назва</vt:lpstr>
      </vt:variant>
      <vt:variant>
        <vt:i4>1</vt:i4>
      </vt:variant>
      <vt:variant>
        <vt:lpstr>Název</vt:lpstr>
      </vt:variant>
      <vt:variant>
        <vt:i4>1</vt:i4>
      </vt:variant>
    </vt:vector>
  </HeadingPairs>
  <TitlesOfParts>
    <vt:vector size="2" baseType="lpstr">
      <vt:lpstr/>
      <vt:lpstr/>
    </vt:vector>
  </TitlesOfParts>
  <Company>Czechtrade.cz</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Antonenko Oksana</dc:creator>
  <cp:lastModifiedBy>Durova Jana</cp:lastModifiedBy>
  <cp:revision>4</cp:revision>
  <cp:lastPrinted>2023-04-19T15:57:00Z</cp:lastPrinted>
  <dcterms:created xsi:type="dcterms:W3CDTF">2025-09-22T15:22:00Z</dcterms:created>
  <dcterms:modified xsi:type="dcterms:W3CDTF">2025-09-22T16:30:00Z</dcterms:modified>
</cp:coreProperties>
</file>